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>
        <w:tblPrEx/>
        <w:trPr/>
        <w:tc>
          <w:tcPr>
            <w:tcW w:w="4927" w:type="dxa"/>
            <w:textDirection w:val="lrTb"/>
            <w:noWrap w:val="false"/>
          </w:tcPr>
          <w:p>
            <w:pPr>
              <w:jc w:val="both"/>
              <w:tabs>
                <w:tab w:val="left" w:pos="4536" w:leader="none"/>
              </w:tabs>
              <w:rPr>
                <w:bCs/>
                <w:color w:val="000000"/>
              </w:rPr>
            </w:pPr>
            <w:r>
              <w:rPr>
                <w:color w:val="000000"/>
              </w:rPr>
              <w:t xml:space="preserve">Об утверждении муниципальной программы "Оздоровление экологической обстановки </w:t>
            </w:r>
            <w:r>
              <w:rPr>
                <w:color w:val="000000"/>
              </w:rPr>
              <w:br/>
              <w:t xml:space="preserve">в городе Нижневартовске" </w:t>
            </w: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</w:p>
        </w:tc>
        <w:tc>
          <w:tcPr>
            <w:tcW w:w="4927" w:type="dxa"/>
            <w:textDirection w:val="lrTb"/>
            <w:noWrap w:val="false"/>
          </w:tcPr>
          <w:p>
            <w:pPr>
              <w:ind w:right="5386"/>
              <w:jc w:val="both"/>
              <w:tabs>
                <w:tab w:val="left" w:pos="4536" w:leader="none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</w:p>
        </w:tc>
      </w:tr>
    </w:tbl>
    <w:p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города от 17.04.2024 №310 </w:t>
      </w:r>
      <w:r>
        <w:rPr>
          <w:sz w:val="28"/>
          <w:szCs w:val="28"/>
        </w:rPr>
        <w:br/>
        <w:t xml:space="preserve">"О порядке разработки и реализации муниципальных программ города Нижневартовска", р</w:t>
      </w:r>
      <w:r>
        <w:rPr>
          <w:color w:val="000000"/>
          <w:sz w:val="28"/>
          <w:szCs w:val="28"/>
          <w:highlight w:val="white"/>
        </w:rPr>
        <w:t xml:space="preserve">ешением Думы города от __. __.2024 №___ "Об одобрении проекта муниципальной программы "Оздоровление экологич</w:t>
      </w:r>
      <w:r>
        <w:rPr>
          <w:color w:val="000000"/>
          <w:sz w:val="28"/>
          <w:szCs w:val="28"/>
          <w:highlight w:val="white"/>
        </w:rPr>
        <w:t xml:space="preserve">еской обстановки в городе Нижневартовске", учитывая итоговый протокол общественного обсуждения проекта постановления администрации города "Об утверждении муниципальной программы "Оздоровление экологической обстановки в городе Нижневартовске" от __.__.2024: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1. Утвердить муниципальную программу "Оздоровление экологической обстановки в городе Нижневартовске" согласно приложению.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2. Прекратить с 01.01.2025 реализацию муниципальн</w:t>
      </w:r>
      <w:r>
        <w:rPr>
          <w:color w:val="000000" w:themeColor="text1"/>
          <w:sz w:val="28"/>
          <w:szCs w:val="28"/>
          <w:highlight w:val="white"/>
        </w:rPr>
        <w:t xml:space="preserve">ой</w:t>
      </w:r>
      <w:r>
        <w:rPr>
          <w:color w:val="000000" w:themeColor="text1"/>
          <w:sz w:val="28"/>
          <w:szCs w:val="28"/>
          <w:highlight w:val="white"/>
        </w:rPr>
        <w:t xml:space="preserve"> программ</w:t>
      </w:r>
      <w:r>
        <w:rPr>
          <w:color w:val="000000" w:themeColor="text1"/>
          <w:sz w:val="28"/>
          <w:szCs w:val="28"/>
          <w:highlight w:val="white"/>
        </w:rPr>
        <w:t xml:space="preserve">ы</w:t>
      </w:r>
      <w:r>
        <w:rPr>
          <w:color w:val="000000" w:themeColor="text1"/>
          <w:sz w:val="28"/>
          <w:szCs w:val="28"/>
          <w:highlight w:val="white"/>
        </w:rPr>
        <w:t xml:space="preserve"> "</w:t>
      </w:r>
      <w:r>
        <w:rPr>
          <w:color w:val="000000" w:themeColor="text1"/>
          <w:sz w:val="28"/>
          <w:szCs w:val="28"/>
          <w:highlight w:val="white"/>
        </w:rPr>
        <w:t xml:space="preserve">Оздоровление экологической обстановки в городе Нижневартовске</w:t>
      </w:r>
      <w:r>
        <w:rPr>
          <w:color w:val="000000" w:themeColor="text1"/>
          <w:sz w:val="28"/>
          <w:szCs w:val="28"/>
          <w:highlight w:val="white"/>
        </w:rPr>
        <w:t xml:space="preserve">", утвержденной постановлением администрации города от </w:t>
      </w:r>
      <w:r>
        <w:rPr>
          <w:color w:val="000000" w:themeColor="text1"/>
          <w:sz w:val="28"/>
          <w:szCs w:val="28"/>
          <w:highlight w:val="white"/>
        </w:rPr>
        <w:t xml:space="preserve">23.07</w:t>
      </w:r>
      <w:r>
        <w:rPr>
          <w:color w:val="000000" w:themeColor="text1"/>
          <w:sz w:val="28"/>
          <w:szCs w:val="28"/>
          <w:highlight w:val="white"/>
        </w:rPr>
        <w:t xml:space="preserve">.2015 №</w:t>
      </w:r>
      <w:r>
        <w:rPr>
          <w:color w:val="000000" w:themeColor="text1"/>
          <w:sz w:val="28"/>
          <w:szCs w:val="28"/>
          <w:highlight w:val="white"/>
        </w:rPr>
        <w:t xml:space="preserve">1378.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3</w:t>
      </w:r>
      <w:r>
        <w:rPr>
          <w:color w:val="000000" w:themeColor="text1"/>
          <w:sz w:val="28"/>
          <w:szCs w:val="28"/>
          <w:highlight w:val="white"/>
        </w:rPr>
        <w:t xml:space="preserve">. Департаменту общественных коммуникаций и молодежной политики администрации города (В.А. Мыльников) обеспечить официальное опубликование постановления.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540"/>
        <w:jc w:val="both"/>
        <w:spacing w:line="288" w:lineRule="atLeast"/>
        <w:rPr>
          <w:rFonts w:eastAsia="Calibri"/>
          <w:color w:val="000000" w:themeColor="text1"/>
          <w:sz w:val="28"/>
          <w:szCs w:val="28"/>
          <w:highlight w:val="white"/>
        </w:rPr>
      </w:pPr>
      <w:r>
        <w:rPr>
          <w:rFonts w:eastAsia="Calibri"/>
          <w:color w:val="000000" w:themeColor="text1"/>
          <w:sz w:val="28"/>
          <w:szCs w:val="28"/>
          <w:highlight w:val="white"/>
          <w:lang w:eastAsia="en-US"/>
        </w:rPr>
        <w:t xml:space="preserve">4. Постановление вступает в силу после его официального опубликования и применяется к правоотношениям, возникающим при составлении бюджета города Нижневартовска, начиная с бюджета на 2025 год и на плановый период 2026 и 2027 годов.</w:t>
      </w:r>
      <w:r>
        <w:rPr>
          <w:rFonts w:eastAsia="Calibri"/>
          <w:color w:val="000000" w:themeColor="text1"/>
          <w:sz w:val="28"/>
          <w:szCs w:val="28"/>
          <w:highlight w:val="white"/>
        </w:rPr>
      </w:r>
      <w:r>
        <w:rPr>
          <w:rFonts w:eastAsia="Calibri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5</w:t>
      </w:r>
      <w:r>
        <w:rPr>
          <w:color w:val="000000" w:themeColor="text1"/>
          <w:sz w:val="28"/>
          <w:szCs w:val="28"/>
          <w:highlight w:val="white"/>
        </w:rPr>
        <w:t xml:space="preserve">. Контроль за выполнением постановления возложить на заместителя главы города, в ведении которого находится управление по природопользованию и экологии администрации города.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Глава города</w:t>
      </w:r>
      <w:bookmarkStart w:id="0" w:name="undefined"/>
      <w:r>
        <w:rPr>
          <w:color w:val="000000" w:themeColor="text1"/>
        </w:rPr>
      </w:r>
      <w:bookmarkEnd w:id="0"/>
      <w:r>
        <w:rPr>
          <w:color w:val="000000" w:themeColor="text1"/>
          <w:sz w:val="28"/>
          <w:szCs w:val="28"/>
          <w:highlight w:val="white"/>
        </w:rPr>
        <w:t xml:space="preserve">                                                                                           Д.А. Кощенко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jc w:val="both"/>
        <w:rPr>
          <w:color w:val="000000" w:themeColor="text1"/>
          <w:sz w:val="28"/>
          <w:highlight w:val="white"/>
        </w:rPr>
      </w:pPr>
      <w:r>
        <w:rPr>
          <w:color w:val="000000" w:themeColor="text1"/>
          <w:sz w:val="28"/>
          <w:highlight w:val="white"/>
        </w:rPr>
      </w:r>
      <w:r>
        <w:rPr>
          <w:color w:val="000000" w:themeColor="text1"/>
          <w:sz w:val="28"/>
          <w:highlight w:val="white"/>
        </w:rPr>
      </w:r>
      <w:r>
        <w:rPr>
          <w:color w:val="000000" w:themeColor="text1"/>
          <w:sz w:val="28"/>
          <w:highlight w:val="white"/>
        </w:rPr>
      </w:r>
    </w:p>
    <w:p>
      <w:pPr>
        <w:jc w:val="both"/>
        <w:rPr>
          <w:color w:val="000000" w:themeColor="text1"/>
          <w:sz w:val="28"/>
          <w:highlight w:val="white"/>
        </w:rPr>
        <w:sectPr>
          <w:headerReference w:type="default" r:id="rId9"/>
          <w:headerReference w:type="first" r:id="rId10"/>
          <w:footnotePr/>
          <w:endnotePr/>
          <w:type w:val="nextPage"/>
          <w:pgSz w:w="11906" w:h="16838" w:orient="portrait"/>
          <w:pgMar w:top="1134" w:right="567" w:bottom="1134" w:left="1701" w:header="709" w:footer="709" w:gutter="0"/>
          <w:cols w:num="1" w:sep="0" w:space="708" w:equalWidth="1"/>
          <w:docGrid w:linePitch="360"/>
          <w:titlePg/>
        </w:sectPr>
      </w:pPr>
      <w:r>
        <w:rPr>
          <w:color w:val="000000" w:themeColor="text1"/>
          <w:sz w:val="28"/>
          <w:highlight w:val="white"/>
        </w:rPr>
      </w:r>
      <w:r>
        <w:rPr>
          <w:color w:val="000000" w:themeColor="text1"/>
          <w:sz w:val="28"/>
          <w:highlight w:val="white"/>
        </w:rPr>
      </w:r>
      <w:r>
        <w:rPr>
          <w:color w:val="000000" w:themeColor="text1"/>
          <w:sz w:val="28"/>
          <w:highlight w:val="white"/>
        </w:rPr>
      </w:r>
    </w:p>
    <w:p>
      <w:p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                                                                                                                                                          Приложение к постановлению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left="10885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администрации города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left="10885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от __________ №_________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51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</w:p>
    <w:p>
      <w:pPr>
        <w:pStyle w:val="951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</w:p>
    <w:p>
      <w:pPr>
        <w:jc w:val="center"/>
        <w:rPr>
          <w:b/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szCs w:val="28"/>
          <w:highlight w:val="white"/>
        </w:rPr>
        <w:t xml:space="preserve">Муниципальная программа</w:t>
      </w:r>
      <w:r>
        <w:rPr>
          <w:b/>
          <w:color w:val="000000" w:themeColor="text1"/>
          <w:sz w:val="28"/>
          <w:szCs w:val="28"/>
          <w:highlight w:val="white"/>
        </w:rPr>
      </w:r>
      <w:r>
        <w:rPr>
          <w:b/>
          <w:color w:val="000000" w:themeColor="text1"/>
          <w:sz w:val="28"/>
          <w:szCs w:val="28"/>
          <w:highlight w:val="white"/>
        </w:rPr>
      </w:r>
    </w:p>
    <w:p>
      <w:pPr>
        <w:jc w:val="center"/>
        <w:widowControl w:val="off"/>
        <w:rPr>
          <w:b/>
          <w:color w:val="000000" w:themeColor="text1"/>
          <w:highlight w:val="white"/>
        </w:rPr>
      </w:pPr>
      <w:r>
        <w:rPr>
          <w:b/>
          <w:color w:val="000000" w:themeColor="text1"/>
          <w:highlight w:val="white"/>
        </w:rPr>
        <w:t xml:space="preserve">"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Оздоровление экологической обстановки в городе Нижневартовске</w:t>
      </w:r>
      <w:r>
        <w:rPr>
          <w:b/>
          <w:color w:val="000000" w:themeColor="text1"/>
          <w:highlight w:val="white"/>
        </w:rPr>
        <w:t xml:space="preserve">"</w:t>
      </w:r>
      <w:r>
        <w:rPr>
          <w:b/>
          <w:color w:val="000000" w:themeColor="text1"/>
          <w:highlight w:val="white"/>
        </w:rPr>
      </w:r>
      <w:r>
        <w:rPr>
          <w:b/>
          <w:color w:val="000000" w:themeColor="text1"/>
          <w:highlight w:val="white"/>
        </w:rPr>
      </w:r>
    </w:p>
    <w:p>
      <w:pPr>
        <w:jc w:val="center"/>
        <w:widowControl w:val="off"/>
        <w:rPr>
          <w:b/>
          <w:color w:val="000000" w:themeColor="text1"/>
          <w:highlight w:val="white"/>
        </w:rPr>
      </w:pPr>
      <w:r>
        <w:rPr>
          <w:b/>
          <w:color w:val="000000" w:themeColor="text1"/>
          <w:highlight w:val="white"/>
        </w:rPr>
      </w:r>
      <w:r>
        <w:rPr>
          <w:b/>
          <w:color w:val="000000" w:themeColor="text1"/>
          <w:highlight w:val="white"/>
        </w:rPr>
      </w:r>
      <w:r>
        <w:rPr>
          <w:b/>
          <w:color w:val="000000" w:themeColor="text1"/>
          <w:highlight w:val="white"/>
        </w:rPr>
      </w:r>
    </w:p>
    <w:p>
      <w:pPr>
        <w:jc w:val="center"/>
        <w:widowControl w:val="off"/>
        <w:rPr>
          <w:b/>
          <w:bCs/>
          <w:color w:val="000000" w:themeColor="text1"/>
          <w:sz w:val="28"/>
          <w:szCs w:val="28"/>
          <w:highlight w:val="white"/>
        </w:rPr>
        <w:outlineLvl w:val="1"/>
      </w:pPr>
      <w:r>
        <w:rPr>
          <w:b/>
          <w:bCs/>
          <w:color w:val="000000" w:themeColor="text1"/>
          <w:sz w:val="28"/>
          <w:szCs w:val="28"/>
          <w:highlight w:val="white"/>
        </w:rPr>
        <w:t xml:space="preserve">Паспорт муниципальной программы</w:t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</w:p>
    <w:p>
      <w:pPr>
        <w:jc w:val="center"/>
        <w:rPr>
          <w:b/>
          <w:color w:val="000000" w:themeColor="text1"/>
          <w:highlight w:val="white"/>
        </w:rPr>
      </w:pPr>
      <w:r>
        <w:rPr>
          <w:b/>
          <w:color w:val="000000" w:themeColor="text1"/>
          <w:highlight w:val="white"/>
        </w:rPr>
        <w:t xml:space="preserve">"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Оздоровление экологической обстановки в городе Нижневартовске</w:t>
      </w:r>
      <w:r>
        <w:rPr>
          <w:b/>
          <w:color w:val="000000" w:themeColor="text1"/>
          <w:highlight w:val="white"/>
        </w:rPr>
        <w:t xml:space="preserve">"</w:t>
      </w:r>
      <w:r>
        <w:rPr>
          <w:b/>
          <w:color w:val="000000" w:themeColor="text1"/>
          <w:highlight w:val="white"/>
        </w:rPr>
      </w:r>
      <w:r>
        <w:rPr>
          <w:b/>
          <w:color w:val="000000" w:themeColor="text1"/>
          <w:highlight w:val="white"/>
        </w:rPr>
      </w:r>
    </w:p>
    <w:p>
      <w:pPr>
        <w:jc w:val="center"/>
        <w:rPr>
          <w:color w:val="000000" w:themeColor="text1"/>
          <w:sz w:val="28"/>
          <w:highlight w:val="white"/>
        </w:rPr>
      </w:pPr>
      <w:r>
        <w:rPr>
          <w:color w:val="000000" w:themeColor="text1"/>
          <w:sz w:val="28"/>
          <w:highlight w:val="white"/>
        </w:rPr>
      </w:r>
      <w:r>
        <w:rPr>
          <w:color w:val="000000" w:themeColor="text1"/>
          <w:sz w:val="28"/>
          <w:highlight w:val="white"/>
        </w:rPr>
      </w:r>
      <w:r>
        <w:rPr>
          <w:color w:val="000000" w:themeColor="text1"/>
          <w:sz w:val="28"/>
          <w:highlight w:val="white"/>
        </w:rPr>
      </w:r>
    </w:p>
    <w:p>
      <w:pPr>
        <w:jc w:val="center"/>
        <w:rPr>
          <w:b/>
          <w:color w:val="000000" w:themeColor="text1"/>
          <w:sz w:val="28"/>
          <w:highlight w:val="white"/>
        </w:rPr>
      </w:pPr>
      <w:r>
        <w:rPr>
          <w:b/>
          <w:color w:val="000000" w:themeColor="text1"/>
          <w:sz w:val="28"/>
          <w:highlight w:val="white"/>
        </w:rPr>
        <w:t xml:space="preserve">1. Основные положения</w:t>
      </w:r>
      <w:r>
        <w:rPr>
          <w:b/>
          <w:color w:val="000000" w:themeColor="text1"/>
          <w:sz w:val="28"/>
          <w:highlight w:val="white"/>
        </w:rPr>
      </w:r>
      <w:r>
        <w:rPr>
          <w:b/>
          <w:color w:val="000000" w:themeColor="text1"/>
          <w:sz w:val="28"/>
          <w:highlight w:val="white"/>
        </w:rPr>
      </w:r>
    </w:p>
    <w:p>
      <w:pPr>
        <w:jc w:val="center"/>
        <w:rPr>
          <w:color w:val="000000" w:themeColor="text1"/>
          <w:highlight w:val="white"/>
        </w:rPr>
      </w:pP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7228"/>
        <w:gridCol w:w="8079"/>
      </w:tblGrid>
      <w:tr>
        <w:tblPrEx/>
        <w:trPr/>
        <w:tc>
          <w:tcPr>
            <w:shd w:val="clear" w:color="auto" w:fill="auto"/>
            <w:tcW w:w="7228" w:type="dxa"/>
            <w:textDirection w:val="lrTb"/>
            <w:noWrap w:val="false"/>
          </w:tcPr>
          <w:p>
            <w:pPr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Куратор муниципальной программы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auto" w:fill="auto"/>
            <w:tcW w:w="8079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з</w:t>
            </w:r>
            <w:r>
              <w:rPr>
                <w:color w:val="000000" w:themeColor="text1"/>
                <w:highlight w:val="white"/>
              </w:rPr>
              <w:t xml:space="preserve">аместитель главы города, в ведении которого находится управление по природопользованию и экологии администрации города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W w:w="7228" w:type="dxa"/>
            <w:textDirection w:val="lrTb"/>
            <w:noWrap w:val="false"/>
          </w:tcPr>
          <w:p>
            <w:pPr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Ответственный исполнитель муниципальной программы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auto" w:fill="auto"/>
            <w:tcW w:w="8079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у</w:t>
            </w:r>
            <w:r>
              <w:rPr>
                <w:color w:val="000000" w:themeColor="text1"/>
                <w:highlight w:val="white"/>
              </w:rPr>
              <w:t xml:space="preserve">правление по природопользованию и экологии администрации города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W w:w="7228" w:type="dxa"/>
            <w:textDirection w:val="lrTb"/>
            <w:noWrap w:val="false"/>
          </w:tcPr>
          <w:p>
            <w:pPr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Период реализации муниципальной программы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auto" w:fill="auto"/>
            <w:tcW w:w="8079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2025-2036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W w:w="7228" w:type="dxa"/>
            <w:textDirection w:val="lrTb"/>
            <w:noWrap w:val="false"/>
          </w:tcPr>
          <w:p>
            <w:pPr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Цель муниципальной программы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auto" w:fill="auto"/>
            <w:tcW w:w="8079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о</w:t>
            </w:r>
            <w:r>
              <w:rPr>
                <w:color w:val="000000" w:themeColor="text1"/>
                <w:highlight w:val="white"/>
              </w:rPr>
              <w:t xml:space="preserve">беспечение устойчивой безопасной экологической обстановки </w:t>
              <w:br/>
              <w:t xml:space="preserve">и сохранение благоприятной окружающей среды в городе Нижневартовске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W w:w="7228" w:type="dxa"/>
            <w:textDirection w:val="lrTb"/>
            <w:noWrap w:val="false"/>
          </w:tcPr>
          <w:p>
            <w:pPr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Направления (подпрограммы) муниципальной программы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auto" w:fill="auto"/>
            <w:tcW w:w="8079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-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W w:w="7228" w:type="dxa"/>
            <w:textDirection w:val="lrTb"/>
            <w:noWrap w:val="false"/>
          </w:tcPr>
          <w:p>
            <w:pPr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Объемы финансового обеспечения за весь период реализации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auto" w:fill="auto"/>
            <w:tcW w:w="8079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645 073,96 тыс. рублей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W w:w="7228" w:type="dxa"/>
            <w:textDirection w:val="lrTb"/>
            <w:noWrap w:val="false"/>
          </w:tcPr>
          <w:p>
            <w:pPr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Связь с национальными целями развития Российской Федерации /               государственными программами Ханты-Мансийского автономного 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округа - Югры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auto" w:fill="auto"/>
            <w:tcW w:w="8079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Экологическое благополучие / Государственная программа Ханты-Мансийского автономного округа - Югры "Экологическая безопасность"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</w:tbl>
    <w:p>
      <w:pPr>
        <w:rPr>
          <w:color w:val="000000" w:themeColor="text1"/>
          <w:highlight w:val="white"/>
        </w:rPr>
      </w:pP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47"/>
        <w:jc w:val="center"/>
        <w:spacing w:before="0" w:beforeAutospacing="0" w:after="0" w:afterAutospacing="0"/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</w:rPr>
        <w:t xml:space="preserve">2. Показатели муниципальной программы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</w:rPr>
      </w:r>
    </w:p>
    <w:p>
      <w:pPr>
        <w:jc w:val="center"/>
        <w:rPr>
          <w:color w:val="000000" w:themeColor="text1"/>
          <w:highlight w:val="white"/>
        </w:rPr>
      </w:pP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tbl>
      <w:tblPr>
        <w:tblW w:w="523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04"/>
        <w:gridCol w:w="1783"/>
        <w:gridCol w:w="992"/>
        <w:gridCol w:w="992"/>
        <w:gridCol w:w="709"/>
        <w:gridCol w:w="567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1417"/>
      </w:tblGrid>
      <w:tr>
        <w:tblPrEx/>
        <w:trPr>
          <w:trHeight w:val="34"/>
        </w:trPr>
        <w:tc>
          <w:tcPr>
            <w:tcMar>
              <w:top w:w="0" w:type="dxa"/>
              <w:bottom w:w="0" w:type="dxa"/>
            </w:tcMar>
            <w:tcW w:w="404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783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показателя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Уровень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показателя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Единица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измерения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(по ОКЕИ)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2"/>
            <w:tcW w:w="1276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Базовое значение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12"/>
            <w:tcW w:w="8506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Значение показателя по годам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Ответственный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за достижение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показателя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34"/>
        </w:trPr>
        <w:tc>
          <w:tcPr>
            <w:tcMar>
              <w:top w:w="0" w:type="dxa"/>
              <w:bottom w:w="0" w:type="dxa"/>
            </w:tcMar>
            <w:tcW w:w="404" w:type="dxa"/>
            <w:vMerge w:val="continue"/>
            <w:textDirection w:val="lrTb"/>
            <w:noWrap w:val="false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1783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  <w:t xml:space="preserve">значе-ние</w:t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  <w:t xml:space="preserve">год</w:t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  <w:t xml:space="preserve">2025</w:t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  <w:t xml:space="preserve">2026</w:t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  <w:t xml:space="preserve">2027</w:t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  <w:t xml:space="preserve">2028</w:t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  <w:t xml:space="preserve">2029</w:t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  <w:t xml:space="preserve">2030</w:t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  <w:t xml:space="preserve">2031</w:t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  <w:t xml:space="preserve">2032</w:t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  <w:t xml:space="preserve">2033</w:t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  <w:t xml:space="preserve">2034</w:t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  <w:t xml:space="preserve">2035</w:t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  <w:t xml:space="preserve">2036</w:t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417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34"/>
        </w:trPr>
        <w:tc>
          <w:tcPr>
            <w:gridSpan w:val="19"/>
            <w:tcW w:w="15369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  <w:t xml:space="preserve">Цель "Обеспечение устойчивой безопасной экологической обстановки и сохранение благоприятной окружающей среды в городе Нижневартовске"</w:t>
            </w: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34"/>
        </w:trPr>
        <w:tc>
          <w:tcPr>
            <w:tcMar>
              <w:top w:w="0" w:type="dxa"/>
              <w:bottom w:w="0" w:type="dxa"/>
            </w:tcMar>
            <w:tcW w:w="40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1.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783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Площадь территории города, на которой ликвидировано 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захламление, загрязнение 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МП 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гектар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2,29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2023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2,0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2,0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2,0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2,0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2,0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2,0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2,0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2,0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2,0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2,0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2,0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2,0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управление по природопользо-ванию </w:t>
              <w:br/>
              <w:t xml:space="preserve">и экологии 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администрации города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07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04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2.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783" w:type="dxa"/>
            <w:vMerge w:val="restart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Количество мероприятий, направленных на контроль достижения нормативов допустимого воздействия на окружающую среду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МП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единица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5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2023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6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6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6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6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управление по природопользо-ванию </w:t>
              <w:br/>
              <w:t xml:space="preserve">и экологии 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администрации города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708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04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3.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783" w:type="dxa"/>
            <w:vMerge w:val="restart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Доля населения, вовлеченного                          в эколого-просветительские 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  <w:br/>
              <w:t xml:space="preserve">и природоохранные мероприятия, от общей численности населения города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ГП ХМАО,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МП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процент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39,6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2023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39,6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39,6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39,6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39,6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39,6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39,6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39,6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39,6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39,6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39,6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39,6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39,6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управление по природопользо-ванию </w:t>
              <w:br/>
              <w:t xml:space="preserve">и экологии 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администрации города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34"/>
        </w:trPr>
        <w:tc>
          <w:tcPr>
            <w:tcMar>
              <w:top w:w="0" w:type="dxa"/>
              <w:bottom w:w="0" w:type="dxa"/>
            </w:tcMar>
            <w:tcW w:w="40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4.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783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Площадь городских лесов с улучшенным породным составом и на которой снижена природная пожарная опасность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МП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гектар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28,98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2023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37,0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37,5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37,5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37,5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37,5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37,5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37,5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37,5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37,5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37,5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37,5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37,5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управление по природопользо-ванию </w:t>
              <w:br/>
              <w:t xml:space="preserve">и экологии 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администрации города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07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04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5.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783" w:type="dxa"/>
            <w:vMerge w:val="restart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Количество деревьев 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  <w:br/>
              <w:t xml:space="preserve">и кустарников,                 в отношении которых реализованы работы по их содержанию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МП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единица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20 351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2023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20 300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20 400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20 500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20 600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20 700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20 800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20 900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 21 000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21 100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21 200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21 300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21 400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управление по природопользо-ванию </w:t>
              <w:br/>
              <w:t xml:space="preserve">и экологии 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администрации города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07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04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6.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783" w:type="dxa"/>
            <w:vMerge w:val="restart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Уровень удовлетворенности населения качеством благоустройства 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  <w:br/>
              <w:t xml:space="preserve">и содержания лесного комплекса "Ягом"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МП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процент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-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none"/>
              </w:rPr>
              <w:t xml:space="preserve">-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72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74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76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78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80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80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80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80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80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80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80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80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управление по природопользо-ванию </w:t>
              <w:br/>
              <w:t xml:space="preserve">и экологии 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администрации города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268"/>
        </w:trPr>
        <w:tc>
          <w:tcPr>
            <w:tcMar>
              <w:top w:w="0" w:type="dxa"/>
              <w:bottom w:w="0" w:type="dxa"/>
            </w:tcMar>
            <w:tcW w:w="40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7.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783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Количество мест (площадок) накопления твердых коммунальных отходов, соответствующих требованиям  санитарно-эпидемиологическо-го и экологического законодательства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МП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единица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25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2023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35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управление по природопользо-ванию </w:t>
              <w:br/>
              <w:t xml:space="preserve">и экологии 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администрации города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</w:tr>
    </w:tbl>
    <w:p>
      <w:pPr>
        <w:jc w:val="center"/>
        <w:rPr>
          <w:color w:val="000000" w:themeColor="text1"/>
          <w:highlight w:val="white"/>
        </w:rPr>
      </w:pP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jc w:val="center"/>
        <w:rPr>
          <w:color w:val="000000" w:themeColor="text1"/>
          <w:sz w:val="28"/>
          <w:highlight w:val="white"/>
        </w:rPr>
      </w:pPr>
      <w:r>
        <w:rPr>
          <w:b/>
          <w:color w:val="000000" w:themeColor="text1"/>
          <w:sz w:val="28"/>
          <w:highlight w:val="white"/>
        </w:rPr>
        <w:t xml:space="preserve">3. План достижения показателей муниципальной программы в 2025 году</w:t>
      </w:r>
      <w:r>
        <w:rPr>
          <w:color w:val="000000" w:themeColor="text1"/>
          <w:sz w:val="28"/>
          <w:highlight w:val="white"/>
        </w:rPr>
        <w:t xml:space="preserve"> </w:t>
      </w:r>
      <w:r>
        <w:rPr>
          <w:color w:val="000000" w:themeColor="text1"/>
          <w:sz w:val="28"/>
          <w:highlight w:val="white"/>
        </w:rPr>
      </w:r>
      <w:r>
        <w:rPr>
          <w:color w:val="000000" w:themeColor="text1"/>
          <w:sz w:val="28"/>
          <w:highlight w:val="white"/>
        </w:rPr>
      </w:r>
    </w:p>
    <w:p>
      <w:pPr>
        <w:jc w:val="center"/>
        <w:rPr>
          <w:color w:val="000000" w:themeColor="text1"/>
          <w:highlight w:val="white"/>
        </w:rPr>
      </w:pP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tbl>
      <w:tblPr>
        <w:tblW w:w="15307" w:type="dxa"/>
        <w:tblInd w:w="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111"/>
        <w:gridCol w:w="1985"/>
        <w:gridCol w:w="2551"/>
        <w:gridCol w:w="1699"/>
        <w:gridCol w:w="1417"/>
        <w:gridCol w:w="1276"/>
        <w:gridCol w:w="1701"/>
      </w:tblGrid>
      <w:tr>
        <w:tblPrEx/>
        <w:trPr>
          <w:trHeight w:val="20"/>
        </w:trPr>
        <w:tc>
          <w:tcPr>
            <w:tcMar>
              <w:top w:w="0" w:type="dxa"/>
              <w:bottom w:w="0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4111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Уровень показателя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Единица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измерения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(по ОКЕИ)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4"/>
            <w:tcW w:w="6093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Плановые значения показателя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Mar>
              <w:top w:w="0" w:type="dxa"/>
              <w:bottom w:w="0" w:type="dxa"/>
            </w:tcMar>
            <w:tcW w:w="567" w:type="dxa"/>
            <w:vMerge w:val="continue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</w:p>
        </w:tc>
        <w:tc>
          <w:tcPr>
            <w:tcW w:w="4111" w:type="dxa"/>
            <w:vMerge w:val="continue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</w:p>
        </w:tc>
        <w:tc>
          <w:tcPr>
            <w:tcW w:w="1985" w:type="dxa"/>
            <w:vMerge w:val="continue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</w:p>
        </w:tc>
        <w:tc>
          <w:tcPr>
            <w:tcW w:w="2551" w:type="dxa"/>
            <w:vMerge w:val="continue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</w:p>
        </w:tc>
        <w:tc>
          <w:tcPr>
            <w:tcW w:w="1699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I квартал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первое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полугодие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9 месяцев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год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83"/>
        </w:trPr>
        <w:tc>
          <w:tcPr>
            <w:gridSpan w:val="8"/>
            <w:tcMar>
              <w:top w:w="0" w:type="dxa"/>
              <w:bottom w:w="0" w:type="dxa"/>
            </w:tcMar>
            <w:tcW w:w="15307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  <w:t xml:space="preserve">Цель "Обеспечение устойчивой безопасной экологической обстановки и сохранение благоприятной окружающей среды в городе Нижневартовске"</w:t>
            </w: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83"/>
        </w:trPr>
        <w:tc>
          <w:tcPr>
            <w:tcMar>
              <w:top w:w="0" w:type="dxa"/>
              <w:bottom w:w="0" w:type="dxa"/>
            </w:tcMar>
            <w:tcW w:w="567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1.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Площадь территории города, на которой ликвидировано захламление, загрязнение 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МП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гектар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69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0,0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0,02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1,0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2,0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83"/>
        </w:trPr>
        <w:tc>
          <w:tcPr>
            <w:tcBorders>
              <w:bottom w:val="single" w:color="000000" w:sz="4" w:space="0"/>
            </w:tcBorders>
            <w:tcMar>
              <w:top w:w="0" w:type="dxa"/>
              <w:bottom w:w="0" w:type="dxa"/>
            </w:tcMar>
            <w:tcW w:w="567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2.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4111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Количество мероприятий, направленных на контроль достижения нормативов допустимого воздействия на окружающую среду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МП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единица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69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1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4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6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83"/>
        </w:trPr>
        <w:tc>
          <w:tcPr>
            <w:tcBorders>
              <w:bottom w:val="single" w:color="000000" w:sz="4" w:space="0"/>
            </w:tcBorders>
            <w:tcMar>
              <w:top w:w="0" w:type="dxa"/>
              <w:bottom w:w="0" w:type="dxa"/>
            </w:tcMar>
            <w:tcW w:w="567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3.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4111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Доля населения, вовлеченного в эколого-просветительские и природоохранные мероприятия, от общей численности населения города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ГП ХМАО,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МП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процент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69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0,0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24,0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39,0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39,6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83"/>
        </w:trPr>
        <w:tc>
          <w:tcPr>
            <w:tcBorders>
              <w:bottom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4.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4111" w:type="dxa"/>
            <w:vMerge w:val="restart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Площадь городских лесов с улучшенным породным составом и на которой снижена природная пожарная опасность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МП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гектар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69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1,9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6,0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7,0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37,0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308"/>
        </w:trPr>
        <w:tc>
          <w:tcPr>
            <w:tcBorders>
              <w:bottom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5.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4111" w:type="dxa"/>
            <w:vMerge w:val="restart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Количество деревьев и кустарников, в отношении которых реализованы работы по их высадке 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  <w:br/>
              <w:t xml:space="preserve">и содержанию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МП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единица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69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13 900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19 500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20 300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83"/>
        </w:trPr>
        <w:tc>
          <w:tcPr>
            <w:tcBorders>
              <w:bottom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6.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4111" w:type="dxa"/>
            <w:vMerge w:val="restart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Уровень удовлетворенности населения качеством благоустройства и содержания лесного комплекса "Ягом"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МП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процент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69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72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72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72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72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895"/>
        </w:trPr>
        <w:tc>
          <w:tcPr>
            <w:tcBorders>
              <w:bottom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7.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4111" w:type="dxa"/>
            <w:vMerge w:val="restart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Количество мест (площадок) накопления твердых коммунальных отходов, соответствующих требованиям санитарно-эпидемиологического 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  <w:br/>
              <w:t xml:space="preserve">и экологического законодательства 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МП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единица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699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35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</w:tbl>
    <w:p>
      <w:pPr>
        <w:jc w:val="center"/>
        <w:rPr>
          <w:color w:val="000000" w:themeColor="text1"/>
          <w:highlight w:val="white"/>
        </w:rPr>
      </w:pP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jc w:val="center"/>
        <w:rPr>
          <w:b/>
          <w:bCs/>
          <w:color w:val="000000" w:themeColor="text1"/>
          <w:sz w:val="28"/>
          <w:szCs w:val="28"/>
          <w:highlight w:val="none"/>
        </w:rPr>
      </w:pPr>
      <w:r>
        <w:rPr>
          <w:b/>
          <w:color w:val="000000" w:themeColor="text1"/>
          <w:sz w:val="28"/>
          <w:highlight w:val="none"/>
        </w:rPr>
        <w:br/>
      </w:r>
      <w:r>
        <w:rPr>
          <w:b/>
          <w:color w:val="000000" w:themeColor="text1"/>
          <w:sz w:val="28"/>
          <w:highlight w:val="white"/>
        </w:rPr>
        <w:t xml:space="preserve">4. Структура муниципальной программы </w:t>
      </w:r>
      <w:r>
        <w:rPr>
          <w:b/>
          <w:bCs/>
          <w:color w:val="000000" w:themeColor="text1"/>
          <w:sz w:val="28"/>
          <w:szCs w:val="28"/>
          <w:highlight w:val="none"/>
        </w:rPr>
      </w:r>
      <w:r>
        <w:rPr>
          <w:b/>
          <w:bCs/>
          <w:color w:val="000000" w:themeColor="text1"/>
          <w:sz w:val="28"/>
          <w:szCs w:val="28"/>
          <w:highlight w:val="none"/>
        </w:rPr>
      </w:r>
    </w:p>
    <w:p>
      <w:pPr>
        <w:jc w:val="center"/>
        <w:rPr>
          <w:b/>
          <w:bCs/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highlight w:val="non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</w:p>
    <w:tbl>
      <w:tblPr>
        <w:tblW w:w="15299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3396"/>
        <w:gridCol w:w="10"/>
        <w:gridCol w:w="6353"/>
        <w:gridCol w:w="25"/>
        <w:gridCol w:w="4960"/>
      </w:tblGrid>
      <w:tr>
        <w:tblPrEx/>
        <w:trPr>
          <w:trHeight w:val="91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55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п/п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396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Задачи структурного элемента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363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Краткое описание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структурного элемента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85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Связь с показателями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0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55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1.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744" w:type="dxa"/>
            <w:textDirection w:val="lrTb"/>
            <w:noWrap w:val="false"/>
          </w:tcPr>
          <w:p>
            <w:pPr>
              <w:ind w:firstLine="154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Комплекс процессных мероприятий "Обеспечение снижения негативного воздействия хозяйственной и иной деятельности на окружающую среду" 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</w:r>
            <w:r>
              <w:rPr>
                <w:color w:val="000000" w:themeColor="text1"/>
                <w:sz w:val="18"/>
                <w:szCs w:val="18"/>
              </w:rPr>
            </w:r>
            <w:r>
              <w:rPr>
                <w:color w:val="000000" w:themeColor="text1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396" w:type="dxa"/>
            <w:textDirection w:val="lrTb"/>
            <w:noWrap w:val="false"/>
          </w:tcPr>
          <w:p>
            <w:pPr>
              <w:ind w:left="113" w:right="113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Ответственный за реализацию 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348" w:type="dxa"/>
            <w:textDirection w:val="lrTb"/>
            <w:noWrap w:val="false"/>
          </w:tcPr>
          <w:p>
            <w:pPr>
              <w:ind w:left="113" w:right="113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управление по природопользованию и экологии администрации города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17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55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396" w:type="dxa"/>
            <w:textDirection w:val="lrTb"/>
            <w:noWrap w:val="false"/>
          </w:tcPr>
          <w:p>
            <w:pPr>
              <w:ind w:left="113" w:right="113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Срок реализации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348" w:type="dxa"/>
            <w:textDirection w:val="lrTb"/>
            <w:noWrap w:val="false"/>
          </w:tcPr>
          <w:p>
            <w:pPr>
              <w:ind w:left="113" w:right="113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2025-2036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42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55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396" w:type="dxa"/>
            <w:textDirection w:val="lrTb"/>
            <w:noWrap w:val="false"/>
          </w:tcPr>
          <w:p>
            <w:pPr>
              <w:pStyle w:val="951"/>
              <w:ind w:left="113"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Участники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348" w:type="dxa"/>
            <w:textDirection w:val="lrTb"/>
            <w:noWrap w:val="false"/>
          </w:tcPr>
          <w:p>
            <w:pPr>
              <w:ind w:left="113" w:right="113"/>
              <w:widowControl w:val="off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управление по природопользованию и экологии администрации города; 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ind w:left="113" w:right="113"/>
              <w:widowControl w:val="off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муниципальное бюджетное учреждение "Управление по дорожному хозяйству и благоустройству города Нижневартовска";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ind w:left="113" w:right="113"/>
              <w:widowControl w:val="off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муниципальное казенное учреждение "Управление материально-технического обеспечения деятельности органов местного самоуправления города Нижневартовска"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71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" w:type="dxa"/>
            <w:textDirection w:val="lrTb"/>
            <w:noWrap w:val="false"/>
          </w:tcPr>
          <w:p>
            <w:pPr>
              <w:pStyle w:val="951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1.1.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textDirection w:val="lrTb"/>
            <w:noWrap w:val="false"/>
          </w:tcPr>
          <w:p>
            <w:pPr>
              <w:pStyle w:val="951"/>
              <w:ind w:left="113"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  <w:lang w:eastAsia="ar-SA"/>
              </w:rPr>
              <w:t xml:space="preserve">Снижение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уровня негативного воздействия факторов техногенного характера на окружающую среду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3" w:type="dxa"/>
            <w:textDirection w:val="lrTb"/>
            <w:noWrap w:val="false"/>
          </w:tcPr>
          <w:p>
            <w:pPr>
              <w:pStyle w:val="951"/>
              <w:ind w:left="113"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ликвидация мест несанкционированного размещения отходов на территории города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pStyle w:val="951"/>
              <w:ind w:left="113"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85" w:type="dxa"/>
            <w:textDirection w:val="lrTb"/>
            <w:noWrap w:val="false"/>
          </w:tcPr>
          <w:p>
            <w:pPr>
              <w:pStyle w:val="951"/>
              <w:ind w:left="113"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площадь территории города, на которой ликвидировано захламление, загрязнение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71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" w:type="dxa"/>
            <w:textDirection w:val="lrTb"/>
            <w:noWrap w:val="false"/>
          </w:tcPr>
          <w:p>
            <w:pPr>
              <w:pStyle w:val="951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1.2.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textDirection w:val="lrTb"/>
            <w:noWrap w:val="false"/>
          </w:tcPr>
          <w:p>
            <w:pPr>
              <w:pStyle w:val="951"/>
              <w:ind w:left="113"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  <w:lang w:eastAsia="ar-SA"/>
              </w:rPr>
              <w:t xml:space="preserve">Обеспечение соблюдения требований законодательства в области охраны окружающей среды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3" w:type="dxa"/>
            <w:textDirection w:val="lrTb"/>
            <w:noWrap w:val="false"/>
          </w:tcPr>
          <w:p>
            <w:pPr>
              <w:pStyle w:val="951"/>
              <w:ind w:left="113"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организация мероприятий по контролю за состоянием компонентов окружающей среды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pStyle w:val="951"/>
              <w:ind w:left="113"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85" w:type="dxa"/>
            <w:textDirection w:val="lrTb"/>
            <w:noWrap w:val="false"/>
          </w:tcPr>
          <w:p>
            <w:pPr>
              <w:pStyle w:val="951"/>
              <w:ind w:left="113"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количество мероприятий, направленных на контроль достижения нормативов допустимого воздействия на окружающую среду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white"/>
              </w:rPr>
            </w:r>
          </w:p>
        </w:tc>
      </w:tr>
      <w:tr>
        <w:tblPrEx/>
        <w:trPr>
          <w:trHeight w:val="71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" w:type="dxa"/>
            <w:vMerge w:val="restart"/>
            <w:textDirection w:val="lrTb"/>
            <w:noWrap w:val="false"/>
          </w:tcPr>
          <w:p>
            <w:pPr>
              <w:pStyle w:val="951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1.3.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vMerge w:val="restart"/>
            <w:textDirection w:val="lrTb"/>
            <w:noWrap w:val="false"/>
          </w:tcPr>
          <w:p>
            <w:pPr>
              <w:pStyle w:val="951"/>
              <w:ind w:left="113"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  <w:lang w:eastAsia="ar-SA"/>
              </w:rPr>
              <w:t xml:space="preserve">Предотвращение негативного воздействия твердых коммунальных отходов на окружающую среду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3" w:type="dxa"/>
            <w:vMerge w:val="restart"/>
            <w:textDirection w:val="lrTb"/>
            <w:noWrap w:val="false"/>
          </w:tcPr>
          <w:p>
            <w:pPr>
              <w:pStyle w:val="951"/>
              <w:ind w:left="113"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обеспечение реализации отдельных государственных полномочий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br/>
              <w:t xml:space="preserve">Ханты-Мансийского автономного округа в сфере обращения с твердыми коммунальными отходами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85" w:type="dxa"/>
            <w:vMerge w:val="restart"/>
            <w:textDirection w:val="lrTb"/>
            <w:noWrap w:val="false"/>
          </w:tcPr>
          <w:p>
            <w:pPr>
              <w:pStyle w:val="951"/>
              <w:ind w:left="113"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доля населения, вовлеченного в эколого-просветительские </w:t>
              <w:br/>
              <w:t xml:space="preserve">и природоохранные мероприятия, от общей численности населения города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7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2.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44" w:type="dxa"/>
            <w:vMerge w:val="restart"/>
            <w:textDirection w:val="lrTb"/>
            <w:noWrap w:val="false"/>
          </w:tcPr>
          <w:p>
            <w:pPr>
              <w:ind w:firstLine="154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Комплекс процессных мероприятий "Экологическое просвещение населения" 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32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6" w:type="dxa"/>
            <w:vMerge w:val="restart"/>
            <w:textDirection w:val="lrTb"/>
            <w:noWrap w:val="false"/>
          </w:tcPr>
          <w:p>
            <w:pPr>
              <w:ind w:left="113" w:right="113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Ответственный за реализацию 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8" w:type="dxa"/>
            <w:vMerge w:val="restart"/>
            <w:textDirection w:val="lrTb"/>
            <w:noWrap w:val="false"/>
          </w:tcPr>
          <w:p>
            <w:pPr>
              <w:ind w:left="113" w:right="113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управление по природопользованию и экологии администрации города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7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6" w:type="dxa"/>
            <w:vMerge w:val="restart"/>
            <w:textDirection w:val="lrTb"/>
            <w:noWrap w:val="false"/>
          </w:tcPr>
          <w:p>
            <w:pPr>
              <w:ind w:left="113" w:right="113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Срок реализации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8" w:type="dxa"/>
            <w:vMerge w:val="restart"/>
            <w:textDirection w:val="lrTb"/>
            <w:noWrap w:val="false"/>
          </w:tcPr>
          <w:p>
            <w:pPr>
              <w:ind w:left="113" w:right="113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2025-2036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6" w:type="dxa"/>
            <w:vMerge w:val="restart"/>
            <w:textDirection w:val="lrTb"/>
            <w:noWrap w:val="false"/>
          </w:tcPr>
          <w:p>
            <w:pPr>
              <w:pStyle w:val="951"/>
              <w:ind w:left="113"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Участники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8" w:type="dxa"/>
            <w:vMerge w:val="restart"/>
            <w:textDirection w:val="lrTb"/>
            <w:noWrap w:val="false"/>
          </w:tcPr>
          <w:p>
            <w:pPr>
              <w:ind w:left="113" w:right="113"/>
              <w:widowControl w:val="off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управление по природопользованию и экологии администрации города; 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ind w:left="113" w:right="113"/>
              <w:widowControl w:val="off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муниципальное казенное учреждение "Управление материально-технического обеспечения деятельности органов местного самоуправления города Нижневартовска"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7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" w:type="dxa"/>
            <w:vMerge w:val="restart"/>
            <w:textDirection w:val="lrTb"/>
            <w:noWrap w:val="false"/>
          </w:tcPr>
          <w:p>
            <w:pPr>
              <w:pStyle w:val="951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2.1.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6" w:type="dxa"/>
            <w:vMerge w:val="restart"/>
            <w:textDirection w:val="lrTb"/>
            <w:noWrap w:val="false"/>
          </w:tcPr>
          <w:p>
            <w:pPr>
              <w:pStyle w:val="951"/>
              <w:ind w:left="113"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  <w:lang w:eastAsia="ar-SA"/>
              </w:rPr>
              <w:t xml:space="preserve">Формирование бережного отношения человека к природе и привлечение населения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  <w:lang w:eastAsia="ar-SA"/>
              </w:rPr>
              <w:t xml:space="preserve">к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  <w:lang w:eastAsia="ar-SA"/>
              </w:rPr>
              <w:t xml:space="preserve"> природоохранной деятельности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8" w:type="dxa"/>
            <w:vMerge w:val="restart"/>
            <w:textDirection w:val="lrTb"/>
            <w:noWrap w:val="false"/>
          </w:tcPr>
          <w:p>
            <w:pPr>
              <w:pStyle w:val="951"/>
              <w:ind w:left="113"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организация и проведение массовых экологических мероприятий, обеспечение информирования населения по вопросам охраны окружающей среды                                          и природопользования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widowControl w:val="off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60" w:type="dxa"/>
            <w:vMerge w:val="restart"/>
            <w:textDirection w:val="lrTb"/>
            <w:noWrap w:val="false"/>
          </w:tcPr>
          <w:p>
            <w:pPr>
              <w:pStyle w:val="951"/>
              <w:ind w:left="113"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доля населения, вовлеченного в эколого-просветительские </w:t>
              <w:br/>
              <w:t xml:space="preserve">и природоохранные мероприятия, от общей численности населения города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jc w:val="center"/>
              <w:widowControl w:val="off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7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3.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44" w:type="dxa"/>
            <w:textDirection w:val="lrTb"/>
            <w:noWrap w:val="false"/>
          </w:tcPr>
          <w:p>
            <w:pPr>
              <w:ind w:firstLine="154"/>
              <w:widowControl w:val="off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Комплекс процессных мероприятий "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Обеспечение деятельности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 муниципального учреждения в сфере природопользования и экологии"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textDirection w:val="lrTb"/>
            <w:noWrap w:val="false"/>
          </w:tcPr>
          <w:p>
            <w:pPr>
              <w:ind w:left="113" w:right="113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Ответственный за реализацию 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8" w:type="dxa"/>
            <w:textDirection w:val="lrTb"/>
            <w:noWrap w:val="false"/>
          </w:tcPr>
          <w:p>
            <w:pPr>
              <w:ind w:left="113" w:right="113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управление по природопользованию и экологии администрации города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textDirection w:val="lrTb"/>
            <w:noWrap w:val="false"/>
          </w:tcPr>
          <w:p>
            <w:pPr>
              <w:ind w:left="113" w:right="113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Срок реализации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8" w:type="dxa"/>
            <w:textDirection w:val="lrTb"/>
            <w:noWrap w:val="false"/>
          </w:tcPr>
          <w:p>
            <w:pPr>
              <w:ind w:left="113" w:right="113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2025-2036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7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textDirection w:val="lrTb"/>
            <w:noWrap w:val="false"/>
          </w:tcPr>
          <w:p>
            <w:pPr>
              <w:pStyle w:val="951"/>
              <w:ind w:left="113"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Участники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8" w:type="dxa"/>
            <w:textDirection w:val="lrTb"/>
            <w:noWrap w:val="false"/>
          </w:tcPr>
          <w:p>
            <w:pPr>
              <w:ind w:left="113" w:right="113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муниципальное бюджетное учреждение  "Управление лесопаркового хозяйства города Нижневартовска"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1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" w:type="dxa"/>
            <w:textDirection w:val="lrTb"/>
            <w:noWrap w:val="false"/>
          </w:tcPr>
          <w:p>
            <w:pPr>
              <w:pStyle w:val="951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3.1.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6" w:type="dxa"/>
            <w:textDirection w:val="lrTb"/>
            <w:noWrap w:val="false"/>
          </w:tcPr>
          <w:p>
            <w:pPr>
              <w:pStyle w:val="951"/>
              <w:ind w:left="113"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  <w:lang w:eastAsia="ar-SA"/>
              </w:rPr>
              <w:t xml:space="preserve">Создание условий для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  <w:lang w:eastAsia="ar-SA"/>
              </w:rPr>
              <w:t xml:space="preserve">эффективной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  <w:lang w:eastAsia="ar-SA"/>
              </w:rPr>
              <w:t xml:space="preserve">деятельности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  <w:lang w:eastAsia="ar-SA"/>
              </w:rPr>
              <w:t xml:space="preserve">муниципального учреждения, подведомственного управлению по природопользованию </w:t>
              <w:br/>
              <w:t xml:space="preserve">и экологии администрации города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3" w:type="dxa"/>
            <w:textDirection w:val="lrTb"/>
            <w:noWrap w:val="false"/>
          </w:tcPr>
          <w:p>
            <w:pPr>
              <w:pStyle w:val="951"/>
              <w:ind w:left="113"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Осуществление функций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муниципального бюджетного учреждения в сфере лесопользован</w:t>
            </w:r>
            <w:bookmarkStart w:id="1" w:name="_GoBack"/>
            <w:r>
              <w:rPr>
                <w:color w:val="000000" w:themeColor="text1"/>
              </w:rPr>
            </w:r>
            <w:bookmarkEnd w:id="1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ия, озеленения города, обращения с отходами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85" w:type="dxa"/>
            <w:textDirection w:val="lrTb"/>
            <w:noWrap w:val="false"/>
          </w:tcPr>
          <w:p>
            <w:pPr>
              <w:pStyle w:val="951"/>
              <w:ind w:left="113"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доля населения, вовлеченного в эколого-просветительские </w:t>
              <w:br/>
              <w:t xml:space="preserve">и природоохранные мероприятия, от общей численности населения города;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pStyle w:val="951"/>
              <w:ind w:left="113"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площадь городских лесов с улучшенным породным составом и на которой снижена природная пожарная опасность;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pStyle w:val="951"/>
              <w:ind w:left="113"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количество деревьев и кустарников, в отношении которых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реализованы работы по их высадке и содержанию;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pStyle w:val="951"/>
              <w:ind w:left="113"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урове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нь удовлетворенности населения качеством благоустройства и содержания лесного комплекса "Ягом"; количество мест (площадок) накопления твердых коммунальных отходов, соответствующих требованиям санитарно-эпидемиологического и экологического законодательства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</w:tr>
    </w:tbl>
    <w:p>
      <w:pPr>
        <w:jc w:val="center"/>
        <w:rPr>
          <w:color w:val="000000" w:themeColor="text1"/>
          <w:highlight w:val="white"/>
        </w:rPr>
      </w:pP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47"/>
        <w:jc w:val="center"/>
        <w:spacing w:before="0" w:beforeAutospacing="0" w:after="0" w:afterAutospacing="0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</w:rPr>
        <w:t xml:space="preserve">5. Финансовое обеспечение муниципальной программы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highlight w:val="white"/>
        </w:rPr>
      </w:r>
    </w:p>
    <w:p>
      <w:pPr>
        <w:jc w:val="center"/>
        <w:rPr>
          <w:color w:val="000000" w:themeColor="text1"/>
          <w:highlight w:val="white"/>
        </w:rPr>
      </w:pP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tbl>
      <w:tblPr>
        <w:tblW w:w="5167" w:type="pct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96"/>
        <w:gridCol w:w="1701"/>
        <w:gridCol w:w="1417"/>
        <w:gridCol w:w="850"/>
        <w:gridCol w:w="850"/>
        <w:gridCol w:w="852"/>
        <w:gridCol w:w="996"/>
        <w:gridCol w:w="850"/>
        <w:gridCol w:w="993"/>
        <w:gridCol w:w="850"/>
        <w:gridCol w:w="987"/>
        <w:gridCol w:w="992"/>
        <w:gridCol w:w="850"/>
        <w:gridCol w:w="850"/>
        <w:gridCol w:w="850"/>
        <w:gridCol w:w="996"/>
      </w:tblGrid>
      <w:tr>
        <w:tblPrEx/>
        <w:trPr>
          <w:trHeight w:val="20"/>
        </w:trPr>
        <w:tc>
          <w:tcPr>
            <w:tcW w:w="396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структурного элемента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Источник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финансового обеспечения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gridSpan w:val="13"/>
            <w:tcW w:w="11766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Объем финансового обеспечения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(тыс. рублей)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396" w:type="dxa"/>
            <w:vMerge w:val="continue"/>
            <w:textDirection w:val="lrTb"/>
            <w:noWrap w:val="false"/>
          </w:tcPr>
          <w:p>
            <w:pPr>
              <w:pStyle w:val="951"/>
              <w:ind w:left="-113" w:right="-113"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951"/>
              <w:ind w:left="-113" w:right="-113"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</w:p>
        </w:tc>
        <w:tc>
          <w:tcPr>
            <w:tcW w:w="1417" w:type="dxa"/>
            <w:vMerge w:val="continue"/>
            <w:textDirection w:val="lrTb"/>
            <w:noWrap w:val="false"/>
          </w:tcPr>
          <w:p>
            <w:pPr>
              <w:pStyle w:val="951"/>
              <w:ind w:left="-113" w:right="-113"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2025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2026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2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2027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6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2028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2029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2030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2031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87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2032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2033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2034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2035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2036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4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  <w:t xml:space="preserve">всего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97"/>
        </w:trPr>
        <w:tc>
          <w:tcPr>
            <w:gridSpan w:val="2"/>
            <w:tcW w:w="2097" w:type="dxa"/>
            <w:vMerge w:val="restart"/>
            <w:textDirection w:val="lrTb"/>
            <w:noWrap w:val="false"/>
          </w:tcPr>
          <w:p>
            <w:pPr>
              <w:pStyle w:val="951"/>
              <w:ind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Муниципальная программа (всего)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pStyle w:val="951"/>
              <w:ind w:left="-113" w:right="-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pStyle w:val="951"/>
              <w:ind w:left="-113" w:right="-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951"/>
              <w:ind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  <w:lang w:eastAsia="ar-SA"/>
              </w:rPr>
              <w:t xml:space="preserve">всего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58 551,93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58 551,93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2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58 274,93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6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58 274,93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51 427,53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51 427,53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51 427,53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87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51 427,53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51 427,53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51 427,53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51 427,53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51 427,53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4" w:type="dxa"/>
            <w:textDirection w:val="lrTb"/>
            <w:noWrap w:val="false"/>
          </w:tcPr>
          <w:p>
            <w:pPr>
              <w:ind w:left="-113" w:right="-113"/>
              <w:jc w:val="center"/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  <w:t xml:space="preserve">645 073,96</w:t>
            </w: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612"/>
        </w:trPr>
        <w:tc>
          <w:tcPr>
            <w:gridSpan w:val="2"/>
            <w:tcW w:w="209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51"/>
              <w:ind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  <w:lang w:eastAsia="ar-SA"/>
              </w:rPr>
              <w:t xml:space="preserve">бюджет автономного округа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277,00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277,00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2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0,00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6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0,00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0,00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0,00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0,00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87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0,00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0,00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0,00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0,00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0,00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  <w:t xml:space="preserve">554,00</w:t>
            </w: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07"/>
        </w:trPr>
        <w:tc>
          <w:tcPr>
            <w:gridSpan w:val="2"/>
            <w:tcW w:w="209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51"/>
              <w:ind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  <w:lang w:eastAsia="ar-SA"/>
              </w:rPr>
              <w:t xml:space="preserve">бюджет города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58 274,93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58 274,93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2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58 274,93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6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58 274,93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51 427,53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51 427,53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51 427,53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87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51 427,53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51 427,53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51 427,53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51 427,53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51 427,53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4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highlight w:val="white"/>
              </w:rPr>
              <w:t xml:space="preserve">644 519,96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gridSpan w:val="3"/>
            <w:tcW w:w="3514" w:type="dxa"/>
            <w:textDirection w:val="lrTb"/>
            <w:noWrap w:val="false"/>
          </w:tcPr>
          <w:p>
            <w:pPr>
              <w:pStyle w:val="951"/>
              <w:ind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Объем налоговых расходов (справочно)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2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6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87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-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4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  <w:t xml:space="preserve">-</w:t>
            </w: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/>
        <w:tc>
          <w:tcPr>
            <w:tcW w:w="396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1.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951"/>
              <w:ind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  <w:lang w:eastAsia="ar-SA"/>
              </w:rPr>
              <w:t xml:space="preserve">Комплекс процессных мероприятий "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Обеспечение снижения негативного воздействия хозяйственной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br/>
              <w:t xml:space="preserve">и иной деятельности на окружающую среду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  <w:lang w:eastAsia="ar-SA"/>
              </w:rPr>
              <w:t xml:space="preserve">"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951"/>
              <w:ind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  <w:lang w:eastAsia="ar-SA"/>
              </w:rPr>
              <w:t xml:space="preserve">всего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14 732,85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14 732,85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2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14 455,85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6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14 455,85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7 608,45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7 608,45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7 608,45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7 608,45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7 608,45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7 608,45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7 608,45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7 608,45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4" w:type="dxa"/>
            <w:textDirection w:val="lrTb"/>
            <w:noWrap w:val="false"/>
          </w:tcPr>
          <w:p>
            <w:pPr>
              <w:ind w:left="-113" w:right="-113"/>
              <w:jc w:val="center"/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  <w:t xml:space="preserve">119 245,00</w:t>
            </w: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W w:w="39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51"/>
              <w:ind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  <w:lang w:eastAsia="ar-SA"/>
              </w:rPr>
              <w:t xml:space="preserve">бюджет автономного округа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277,00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277,00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2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0,00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6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0,00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0,00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0,00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0,00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0,00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0,00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0,00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0,00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0,00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  <w:t xml:space="preserve">554,00</w:t>
            </w: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W w:w="39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51"/>
              <w:ind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  <w:lang w:eastAsia="ar-SA"/>
              </w:rPr>
              <w:t xml:space="preserve">бюджет города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14 455,85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14 455,85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2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14 455,85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6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14 455,85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7 608,45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7 608,45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7 608,45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7 608,45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7 608,45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7 608,45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7 608,45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7 608,45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  <w:t xml:space="preserve">118 691,00</w:t>
            </w: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39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2.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951"/>
              <w:ind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  <w:lang w:eastAsia="ar-SA"/>
              </w:rPr>
              <w:t xml:space="preserve">Комплекс процессных мероприятий "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Экологическое просвещение населения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  <w:lang w:eastAsia="ar-SA"/>
              </w:rPr>
              <w:t xml:space="preserve">"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бюджет города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1 586,15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1 586,15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2" w:type="dxa"/>
            <w:textDirection w:val="lrTb"/>
            <w:noWrap w:val="false"/>
          </w:tcPr>
          <w:p>
            <w:pPr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1 586,15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1 586,15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1 586,15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1 586,15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1 586,15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1 586,15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1 586,15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1 586,15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1 586,15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1 586,15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994" w:type="dxa"/>
            <w:textDirection w:val="lrTb"/>
            <w:noWrap w:val="false"/>
          </w:tcPr>
          <w:p>
            <w:pPr>
              <w:ind w:left="-113" w:right="-113"/>
              <w:jc w:val="center"/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  <w:t xml:space="preserve">19 033,80</w:t>
            </w: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07"/>
        </w:trPr>
        <w:tc>
          <w:tcPr>
            <w:tcW w:w="396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color w:val="000000" w:themeColor="text1"/>
                <w:sz w:val="18"/>
                <w:szCs w:val="18"/>
                <w:highlight w:val="white"/>
              </w:rPr>
              <w:t xml:space="preserve">3.</w:t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pStyle w:val="951"/>
              <w:ind w:right="113"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  <w:lang w:eastAsia="ar-SA"/>
              </w:rPr>
              <w:t xml:space="preserve">Комплекс процессных мероприятий "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Обеспечение деятельности муниципального учреждения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br/>
              <w:t xml:space="preserve">в сфере природопользования и экологии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  <w:lang w:eastAsia="ar-SA"/>
              </w:rPr>
              <w:t xml:space="preserve">"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бюджет города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42 232,93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42 232,93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2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42 232,93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6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42 232,93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42 232,93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42 232,93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42 232,93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7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42 232,93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42 232,93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42 232,93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42 232,93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51"/>
              <w:ind w:left="-113" w:right="-113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42 232,93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W w:w="994" w:type="dxa"/>
            <w:vMerge w:val="restart"/>
            <w:textDirection w:val="lrTb"/>
            <w:noWrap w:val="false"/>
          </w:tcPr>
          <w:p>
            <w:pPr>
              <w:ind w:left="-113" w:right="-113"/>
              <w:jc w:val="center"/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  <w:t xml:space="preserve">506 795,16</w:t>
            </w: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b/>
                <w:bCs/>
                <w:color w:val="000000" w:themeColor="text1"/>
                <w:sz w:val="18"/>
                <w:szCs w:val="18"/>
                <w:highlight w:val="white"/>
              </w:rPr>
            </w:r>
          </w:p>
        </w:tc>
      </w:tr>
    </w:tbl>
    <w:p>
      <w:pPr>
        <w:rPr>
          <w:color w:val="000000" w:themeColor="text1"/>
          <w:highlight w:val="white"/>
        </w:rPr>
      </w:pP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sectPr>
      <w:footnotePr/>
      <w:endnotePr/>
      <w:type w:val="nextPage"/>
      <w:pgSz w:w="16838" w:h="11906" w:orient="landscape"/>
      <w:pgMar w:top="1701" w:right="1134" w:bottom="567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Wingdings">
    <w:panose1 w:val="05010000000000000000"/>
  </w:font>
  <w:font w:name="Times New Roman">
    <w:panose1 w:val="02020603050405020304"/>
  </w:font>
  <w:font w:name="Courier New">
    <w:panose1 w:val="02070309020205020404"/>
  </w:font>
  <w:font w:name="Tahoma">
    <w:panose1 w:val="020B06040305040402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4</w:t>
    </w:r>
    <w:r>
      <w:fldChar w:fldCharType="end"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54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3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5" w:hanging="525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5">
    <w:multiLevelType w:val="hybridMultilevel"/>
    <w:lvl w:ilvl="0">
      <w:start w:val="4"/>
      <w:numFmt w:val="bullet"/>
      <w:isLgl w:val="false"/>
      <w:suff w:val="tab"/>
      <w:lvlText w:val="-"/>
      <w:lvlJc w:val="left"/>
      <w:pPr>
        <w:ind w:left="397" w:hanging="397"/>
        <w:tabs>
          <w:tab w:val="num" w:pos="397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5" w:hanging="1215"/>
      </w:pPr>
    </w:lvl>
    <w:lvl w:ilvl="1">
      <w:start w:val="1"/>
      <w:numFmt w:val="decimal"/>
      <w:isLgl w:val="false"/>
      <w:suff w:val="tab"/>
      <w:lvlText w:val="%1.%2."/>
      <w:lvlJc w:val="left"/>
      <w:pPr>
        <w:ind w:left="1935" w:hanging="121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655" w:hanging="121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375" w:hanging="121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095" w:hanging="1215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3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0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12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4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6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8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0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2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4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65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01" w:hanging="360"/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12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4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6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8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0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2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4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61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3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</w:lvl>
  </w:abstractNum>
  <w:abstractNum w:abstractNumId="1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680" w:hanging="1680"/>
        <w:tabs>
          <w:tab w:val="num" w:pos="1680" w:leader="none"/>
        </w:tabs>
      </w:pPr>
      <w:rPr>
        <w:b/>
      </w:rPr>
    </w:lvl>
    <w:lvl w:ilvl="1">
      <w:start w:val="7"/>
      <w:numFmt w:val="decimal"/>
      <w:isLgl w:val="false"/>
      <w:suff w:val="tab"/>
      <w:lvlText w:val="%1.%2."/>
      <w:lvlJc w:val="left"/>
      <w:pPr>
        <w:ind w:left="2034" w:hanging="1680"/>
        <w:tabs>
          <w:tab w:val="num" w:pos="2034" w:leader="none"/>
        </w:tabs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2388" w:hanging="1680"/>
        <w:tabs>
          <w:tab w:val="num" w:pos="2388" w:leader="none"/>
        </w:tabs>
      </w:pPr>
      <w:rPr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42" w:hanging="1680"/>
        <w:tabs>
          <w:tab w:val="num" w:pos="2742" w:leader="none"/>
        </w:tabs>
      </w:pPr>
      <w:rPr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096" w:hanging="1680"/>
        <w:tabs>
          <w:tab w:val="num" w:pos="3096" w:leader="none"/>
        </w:tabs>
      </w:pPr>
      <w:rPr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450" w:hanging="1680"/>
        <w:tabs>
          <w:tab w:val="num" w:pos="3450" w:leader="none"/>
        </w:tabs>
      </w:pPr>
      <w:rPr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  <w:tabs>
          <w:tab w:val="num" w:pos="3924" w:leader="none"/>
        </w:tabs>
      </w:pPr>
      <w:rPr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  <w:tabs>
          <w:tab w:val="num" w:pos="4278" w:leader="none"/>
        </w:tabs>
      </w:pPr>
      <w:rPr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  <w:tabs>
          <w:tab w:val="num" w:pos="4992" w:leader="none"/>
        </w:tabs>
      </w:pPr>
      <w:rPr>
        <w:b/>
      </w:rPr>
    </w:lvl>
  </w:abstractNum>
  <w:abstractNum w:abstractNumId="2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5" w:hanging="525"/>
      </w:pPr>
    </w:lvl>
    <w:lvl w:ilvl="1">
      <w:start w:val="1"/>
      <w:numFmt w:val="decimal"/>
      <w:isLgl w:val="false"/>
      <w:suff w:val="tab"/>
      <w:lvlText w:val="%1.%2."/>
      <w:lvlJc w:val="left"/>
      <w:pPr>
        <w:ind w:left="1712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3">
    <w:multiLevelType w:val="hybridMultilevel"/>
    <w:lvl w:ilvl="0">
      <w:start w:val="2004"/>
      <w:numFmt w:val="bullet"/>
      <w:isLgl w:val="false"/>
      <w:suff w:val="tab"/>
      <w:lvlText w:val="-"/>
      <w:lvlJc w:val="left"/>
      <w:pPr>
        <w:ind w:left="397" w:hanging="397"/>
        <w:tabs>
          <w:tab w:val="num" w:pos="397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-"/>
      <w:lvlJc w:val="left"/>
      <w:pPr>
        <w:ind w:left="1477" w:hanging="397"/>
        <w:tabs>
          <w:tab w:val="num" w:pos="1477" w:leader="none"/>
        </w:tabs>
      </w:pPr>
      <w:rPr>
        <w:rFonts w:ascii="Times New Roman" w:hAnsi="Times New Roman" w:eastAsia="Times New Roman"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0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12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4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6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8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0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2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4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61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29">
    <w:multiLevelType w:val="hybridMultilevel"/>
    <w:lvl w:ilvl="0">
      <w:start w:val="5"/>
      <w:numFmt w:val="bullet"/>
      <w:isLgl w:val="false"/>
      <w:suff w:val="tab"/>
      <w:lvlText w:val="-"/>
      <w:lvlJc w:val="left"/>
      <w:pPr>
        <w:ind w:left="397" w:hanging="397"/>
        <w:tabs>
          <w:tab w:val="num" w:pos="397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99" w:hanging="39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22"/>
  </w:num>
  <w:num w:numId="3">
    <w:abstractNumId w:val="12"/>
  </w:num>
  <w:num w:numId="4">
    <w:abstractNumId w:val="19"/>
  </w:num>
  <w:num w:numId="5">
    <w:abstractNumId w:val="24"/>
  </w:num>
  <w:num w:numId="6">
    <w:abstractNumId w:val="29"/>
  </w:num>
  <w:num w:numId="7">
    <w:abstractNumId w:val="5"/>
  </w:num>
  <w:num w:numId="8">
    <w:abstractNumId w:val="23"/>
  </w:num>
  <w:num w:numId="9">
    <w:abstractNumId w:val="7"/>
  </w:num>
  <w:num w:numId="10">
    <w:abstractNumId w:val="14"/>
  </w:num>
  <w:num w:numId="11">
    <w:abstractNumId w:val="2"/>
  </w:num>
  <w:num w:numId="12">
    <w:abstractNumId w:val="0"/>
  </w:num>
  <w:num w:numId="13">
    <w:abstractNumId w:val="20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5"/>
  </w:num>
  <w:num w:numId="18">
    <w:abstractNumId w:val="26"/>
  </w:num>
  <w:num w:numId="19">
    <w:abstractNumId w:val="30"/>
  </w:num>
  <w:num w:numId="20">
    <w:abstractNumId w:val="11"/>
  </w:num>
  <w:num w:numId="21">
    <w:abstractNumId w:val="18"/>
  </w:num>
  <w:num w:numId="22">
    <w:abstractNumId w:val="25"/>
  </w:num>
  <w:num w:numId="23">
    <w:abstractNumId w:val="21"/>
  </w:num>
  <w:num w:numId="24">
    <w:abstractNumId w:val="3"/>
  </w:num>
  <w:num w:numId="25">
    <w:abstractNumId w:val="6"/>
  </w:num>
  <w:num w:numId="26">
    <w:abstractNumId w:val="4"/>
  </w:num>
  <w:num w:numId="27">
    <w:abstractNumId w:val="10"/>
  </w:num>
  <w:num w:numId="28">
    <w:abstractNumId w:val="28"/>
  </w:num>
  <w:num w:numId="29">
    <w:abstractNumId w:val="1"/>
  </w:num>
  <w:num w:numId="30">
    <w:abstractNumId w:val="31"/>
  </w:num>
  <w:num w:numId="31">
    <w:abstractNumId w:val="9"/>
  </w:num>
  <w:num w:numId="32">
    <w:abstractNumId w:val="16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7">
    <w:name w:val="Heading 1 Char"/>
    <w:basedOn w:val="772"/>
    <w:link w:val="763"/>
    <w:uiPriority w:val="9"/>
    <w:rPr>
      <w:rFonts w:ascii="Arial" w:hAnsi="Arial" w:eastAsia="Arial" w:cs="Arial"/>
      <w:sz w:val="40"/>
      <w:szCs w:val="40"/>
    </w:rPr>
  </w:style>
  <w:style w:type="character" w:styleId="748">
    <w:name w:val="Heading 2 Char"/>
    <w:basedOn w:val="772"/>
    <w:link w:val="764"/>
    <w:uiPriority w:val="9"/>
    <w:rPr>
      <w:rFonts w:ascii="Arial" w:hAnsi="Arial" w:eastAsia="Arial" w:cs="Arial"/>
      <w:sz w:val="34"/>
    </w:rPr>
  </w:style>
  <w:style w:type="character" w:styleId="749">
    <w:name w:val="Heading 3 Char"/>
    <w:basedOn w:val="772"/>
    <w:link w:val="765"/>
    <w:uiPriority w:val="9"/>
    <w:rPr>
      <w:rFonts w:ascii="Arial" w:hAnsi="Arial" w:eastAsia="Arial" w:cs="Arial"/>
      <w:sz w:val="30"/>
      <w:szCs w:val="30"/>
    </w:rPr>
  </w:style>
  <w:style w:type="character" w:styleId="750">
    <w:name w:val="Heading 4 Char"/>
    <w:basedOn w:val="772"/>
    <w:link w:val="766"/>
    <w:uiPriority w:val="9"/>
    <w:rPr>
      <w:rFonts w:ascii="Arial" w:hAnsi="Arial" w:eastAsia="Arial" w:cs="Arial"/>
      <w:b/>
      <w:bCs/>
      <w:sz w:val="26"/>
      <w:szCs w:val="26"/>
    </w:rPr>
  </w:style>
  <w:style w:type="character" w:styleId="751">
    <w:name w:val="Heading 5 Char"/>
    <w:basedOn w:val="772"/>
    <w:link w:val="767"/>
    <w:uiPriority w:val="9"/>
    <w:rPr>
      <w:rFonts w:ascii="Arial" w:hAnsi="Arial" w:eastAsia="Arial" w:cs="Arial"/>
      <w:b/>
      <w:bCs/>
      <w:sz w:val="24"/>
      <w:szCs w:val="24"/>
    </w:rPr>
  </w:style>
  <w:style w:type="character" w:styleId="752">
    <w:name w:val="Heading 6 Char"/>
    <w:basedOn w:val="772"/>
    <w:link w:val="768"/>
    <w:uiPriority w:val="9"/>
    <w:rPr>
      <w:rFonts w:ascii="Arial" w:hAnsi="Arial" w:eastAsia="Arial" w:cs="Arial"/>
      <w:b/>
      <w:bCs/>
      <w:sz w:val="22"/>
      <w:szCs w:val="22"/>
    </w:rPr>
  </w:style>
  <w:style w:type="character" w:styleId="753">
    <w:name w:val="Heading 7 Char"/>
    <w:basedOn w:val="772"/>
    <w:link w:val="76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4">
    <w:name w:val="Heading 8 Char"/>
    <w:basedOn w:val="772"/>
    <w:link w:val="770"/>
    <w:uiPriority w:val="9"/>
    <w:rPr>
      <w:rFonts w:ascii="Arial" w:hAnsi="Arial" w:eastAsia="Arial" w:cs="Arial"/>
      <w:i/>
      <w:iCs/>
      <w:sz w:val="22"/>
      <w:szCs w:val="22"/>
    </w:rPr>
  </w:style>
  <w:style w:type="character" w:styleId="755">
    <w:name w:val="Heading 9 Char"/>
    <w:basedOn w:val="772"/>
    <w:link w:val="771"/>
    <w:uiPriority w:val="9"/>
    <w:rPr>
      <w:rFonts w:ascii="Arial" w:hAnsi="Arial" w:eastAsia="Arial" w:cs="Arial"/>
      <w:i/>
      <w:iCs/>
      <w:sz w:val="21"/>
      <w:szCs w:val="21"/>
    </w:rPr>
  </w:style>
  <w:style w:type="character" w:styleId="756">
    <w:name w:val="Title Char"/>
    <w:basedOn w:val="772"/>
    <w:link w:val="786"/>
    <w:uiPriority w:val="10"/>
    <w:rPr>
      <w:sz w:val="48"/>
      <w:szCs w:val="48"/>
    </w:rPr>
  </w:style>
  <w:style w:type="character" w:styleId="757">
    <w:name w:val="Subtitle Char"/>
    <w:basedOn w:val="772"/>
    <w:link w:val="788"/>
    <w:uiPriority w:val="11"/>
    <w:rPr>
      <w:sz w:val="24"/>
      <w:szCs w:val="24"/>
    </w:rPr>
  </w:style>
  <w:style w:type="character" w:styleId="758">
    <w:name w:val="Quote Char"/>
    <w:link w:val="790"/>
    <w:uiPriority w:val="29"/>
    <w:rPr>
      <w:i/>
    </w:rPr>
  </w:style>
  <w:style w:type="character" w:styleId="759">
    <w:name w:val="Intense Quote Char"/>
    <w:link w:val="792"/>
    <w:uiPriority w:val="30"/>
    <w:rPr>
      <w:i/>
    </w:rPr>
  </w:style>
  <w:style w:type="character" w:styleId="760">
    <w:name w:val="Footnote Text Char"/>
    <w:link w:val="927"/>
    <w:uiPriority w:val="99"/>
    <w:rPr>
      <w:sz w:val="18"/>
    </w:rPr>
  </w:style>
  <w:style w:type="character" w:styleId="761">
    <w:name w:val="Endnote Text Char"/>
    <w:link w:val="930"/>
    <w:uiPriority w:val="99"/>
    <w:rPr>
      <w:sz w:val="20"/>
    </w:rPr>
  </w:style>
  <w:style w:type="paragraph" w:styleId="762" w:default="1">
    <w:name w:val="Normal"/>
    <w:qFormat/>
    <w:rPr>
      <w:sz w:val="24"/>
      <w:szCs w:val="24"/>
    </w:rPr>
  </w:style>
  <w:style w:type="paragraph" w:styleId="763">
    <w:name w:val="Heading 1"/>
    <w:basedOn w:val="762"/>
    <w:next w:val="762"/>
    <w:link w:val="775"/>
    <w:qFormat/>
    <w:pPr>
      <w:jc w:val="both"/>
      <w:keepNext/>
      <w:outlineLvl w:val="0"/>
    </w:pPr>
    <w:rPr>
      <w:sz w:val="28"/>
    </w:rPr>
  </w:style>
  <w:style w:type="paragraph" w:styleId="764">
    <w:name w:val="Heading 2"/>
    <w:basedOn w:val="762"/>
    <w:next w:val="762"/>
    <w:link w:val="776"/>
    <w:qFormat/>
    <w:pPr>
      <w:jc w:val="center"/>
      <w:keepNext/>
      <w:outlineLvl w:val="1"/>
    </w:pPr>
    <w:rPr>
      <w:sz w:val="28"/>
    </w:rPr>
  </w:style>
  <w:style w:type="paragraph" w:styleId="765">
    <w:name w:val="Heading 3"/>
    <w:basedOn w:val="762"/>
    <w:next w:val="762"/>
    <w:link w:val="777"/>
    <w:qFormat/>
    <w:pPr>
      <w:jc w:val="center"/>
      <w:keepNext/>
      <w:outlineLvl w:val="2"/>
    </w:pPr>
    <w:rPr>
      <w:b/>
      <w:bCs/>
      <w:sz w:val="28"/>
    </w:rPr>
  </w:style>
  <w:style w:type="paragraph" w:styleId="766">
    <w:name w:val="Heading 4"/>
    <w:basedOn w:val="762"/>
    <w:next w:val="762"/>
    <w:link w:val="778"/>
    <w:qFormat/>
    <w:pPr>
      <w:jc w:val="both"/>
      <w:keepNext/>
      <w:outlineLvl w:val="3"/>
    </w:pPr>
    <w:rPr>
      <w:b/>
      <w:bCs/>
      <w:sz w:val="28"/>
    </w:rPr>
  </w:style>
  <w:style w:type="paragraph" w:styleId="767">
    <w:name w:val="Heading 5"/>
    <w:basedOn w:val="762"/>
    <w:next w:val="762"/>
    <w:link w:val="77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68">
    <w:name w:val="Heading 6"/>
    <w:basedOn w:val="762"/>
    <w:next w:val="762"/>
    <w:link w:val="78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69">
    <w:name w:val="Heading 7"/>
    <w:basedOn w:val="762"/>
    <w:next w:val="762"/>
    <w:link w:val="78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70">
    <w:name w:val="Heading 8"/>
    <w:basedOn w:val="762"/>
    <w:next w:val="762"/>
    <w:link w:val="78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71">
    <w:name w:val="Heading 9"/>
    <w:basedOn w:val="762"/>
    <w:next w:val="762"/>
    <w:link w:val="78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2" w:default="1">
    <w:name w:val="Default Paragraph Font"/>
    <w:uiPriority w:val="1"/>
    <w:semiHidden/>
    <w:unhideWhenUsed/>
  </w:style>
  <w:style w:type="table" w:styleId="77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74" w:default="1">
    <w:name w:val="No List"/>
    <w:uiPriority w:val="99"/>
    <w:semiHidden/>
    <w:unhideWhenUsed/>
  </w:style>
  <w:style w:type="character" w:styleId="775" w:customStyle="1">
    <w:name w:val="Заголовок 1 Знак"/>
    <w:link w:val="763"/>
    <w:uiPriority w:val="9"/>
    <w:rPr>
      <w:rFonts w:ascii="Arial" w:hAnsi="Arial" w:eastAsia="Arial" w:cs="Arial"/>
      <w:sz w:val="40"/>
      <w:szCs w:val="40"/>
    </w:rPr>
  </w:style>
  <w:style w:type="character" w:styleId="776" w:customStyle="1">
    <w:name w:val="Заголовок 2 Знак"/>
    <w:link w:val="764"/>
    <w:uiPriority w:val="9"/>
    <w:rPr>
      <w:rFonts w:ascii="Arial" w:hAnsi="Arial" w:eastAsia="Arial" w:cs="Arial"/>
      <w:sz w:val="34"/>
    </w:rPr>
  </w:style>
  <w:style w:type="character" w:styleId="777" w:customStyle="1">
    <w:name w:val="Заголовок 3 Знак"/>
    <w:link w:val="765"/>
    <w:uiPriority w:val="9"/>
    <w:rPr>
      <w:rFonts w:ascii="Arial" w:hAnsi="Arial" w:eastAsia="Arial" w:cs="Arial"/>
      <w:sz w:val="30"/>
      <w:szCs w:val="30"/>
    </w:rPr>
  </w:style>
  <w:style w:type="character" w:styleId="778" w:customStyle="1">
    <w:name w:val="Заголовок 4 Знак"/>
    <w:link w:val="766"/>
    <w:uiPriority w:val="9"/>
    <w:rPr>
      <w:rFonts w:ascii="Arial" w:hAnsi="Arial" w:eastAsia="Arial" w:cs="Arial"/>
      <w:b/>
      <w:bCs/>
      <w:sz w:val="26"/>
      <w:szCs w:val="26"/>
    </w:rPr>
  </w:style>
  <w:style w:type="character" w:styleId="779" w:customStyle="1">
    <w:name w:val="Заголовок 5 Знак"/>
    <w:link w:val="767"/>
    <w:uiPriority w:val="9"/>
    <w:rPr>
      <w:rFonts w:ascii="Arial" w:hAnsi="Arial" w:eastAsia="Arial" w:cs="Arial"/>
      <w:b/>
      <w:bCs/>
      <w:sz w:val="24"/>
      <w:szCs w:val="24"/>
    </w:rPr>
  </w:style>
  <w:style w:type="character" w:styleId="780" w:customStyle="1">
    <w:name w:val="Заголовок 6 Знак"/>
    <w:link w:val="768"/>
    <w:uiPriority w:val="9"/>
    <w:rPr>
      <w:rFonts w:ascii="Arial" w:hAnsi="Arial" w:eastAsia="Arial" w:cs="Arial"/>
      <w:b/>
      <w:bCs/>
      <w:sz w:val="22"/>
      <w:szCs w:val="22"/>
    </w:rPr>
  </w:style>
  <w:style w:type="character" w:styleId="781" w:customStyle="1">
    <w:name w:val="Заголовок 7 Знак"/>
    <w:link w:val="76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82" w:customStyle="1">
    <w:name w:val="Заголовок 8 Знак"/>
    <w:link w:val="770"/>
    <w:uiPriority w:val="9"/>
    <w:rPr>
      <w:rFonts w:ascii="Arial" w:hAnsi="Arial" w:eastAsia="Arial" w:cs="Arial"/>
      <w:i/>
      <w:iCs/>
      <w:sz w:val="22"/>
      <w:szCs w:val="22"/>
    </w:rPr>
  </w:style>
  <w:style w:type="character" w:styleId="783" w:customStyle="1">
    <w:name w:val="Заголовок 9 Знак"/>
    <w:link w:val="771"/>
    <w:uiPriority w:val="9"/>
    <w:rPr>
      <w:rFonts w:ascii="Arial" w:hAnsi="Arial" w:eastAsia="Arial" w:cs="Arial"/>
      <w:i/>
      <w:iCs/>
      <w:sz w:val="21"/>
      <w:szCs w:val="21"/>
    </w:rPr>
  </w:style>
  <w:style w:type="paragraph" w:styleId="784">
    <w:name w:val="List Paragraph"/>
    <w:basedOn w:val="762"/>
    <w:uiPriority w:val="34"/>
    <w:qFormat/>
    <w:pPr>
      <w:contextualSpacing/>
      <w:ind w:left="720"/>
    </w:pPr>
    <w:rPr>
      <w:sz w:val="20"/>
      <w:szCs w:val="20"/>
    </w:rPr>
  </w:style>
  <w:style w:type="paragraph" w:styleId="785">
    <w:name w:val="No Spacing"/>
    <w:uiPriority w:val="1"/>
    <w:qFormat/>
    <w:rPr>
      <w:lang w:eastAsia="zh-CN"/>
    </w:rPr>
  </w:style>
  <w:style w:type="paragraph" w:styleId="786">
    <w:name w:val="Title"/>
    <w:basedOn w:val="762"/>
    <w:next w:val="762"/>
    <w:link w:val="78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87" w:customStyle="1">
    <w:name w:val="Заголовок Знак"/>
    <w:link w:val="786"/>
    <w:uiPriority w:val="10"/>
    <w:rPr>
      <w:sz w:val="48"/>
      <w:szCs w:val="48"/>
    </w:rPr>
  </w:style>
  <w:style w:type="paragraph" w:styleId="788">
    <w:name w:val="Subtitle"/>
    <w:basedOn w:val="762"/>
    <w:next w:val="762"/>
    <w:link w:val="789"/>
    <w:uiPriority w:val="11"/>
    <w:qFormat/>
    <w:pPr>
      <w:spacing w:before="200" w:after="200"/>
    </w:pPr>
  </w:style>
  <w:style w:type="character" w:styleId="789" w:customStyle="1">
    <w:name w:val="Подзаголовок Знак"/>
    <w:link w:val="788"/>
    <w:uiPriority w:val="11"/>
    <w:rPr>
      <w:sz w:val="24"/>
      <w:szCs w:val="24"/>
    </w:rPr>
  </w:style>
  <w:style w:type="paragraph" w:styleId="790">
    <w:name w:val="Quote"/>
    <w:basedOn w:val="762"/>
    <w:next w:val="762"/>
    <w:link w:val="791"/>
    <w:uiPriority w:val="29"/>
    <w:qFormat/>
    <w:pPr>
      <w:ind w:left="720" w:right="720"/>
    </w:pPr>
    <w:rPr>
      <w:i/>
    </w:rPr>
  </w:style>
  <w:style w:type="character" w:styleId="791" w:customStyle="1">
    <w:name w:val="Цитата 2 Знак"/>
    <w:link w:val="790"/>
    <w:uiPriority w:val="29"/>
    <w:rPr>
      <w:i/>
    </w:rPr>
  </w:style>
  <w:style w:type="paragraph" w:styleId="792">
    <w:name w:val="Intense Quote"/>
    <w:basedOn w:val="762"/>
    <w:next w:val="762"/>
    <w:link w:val="79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3" w:customStyle="1">
    <w:name w:val="Выделенная цитата Знак"/>
    <w:link w:val="792"/>
    <w:uiPriority w:val="30"/>
    <w:rPr>
      <w:i/>
    </w:rPr>
  </w:style>
  <w:style w:type="paragraph" w:styleId="794">
    <w:name w:val="Header"/>
    <w:basedOn w:val="762"/>
    <w:link w:val="954"/>
    <w:uiPriority w:val="99"/>
    <w:pPr>
      <w:tabs>
        <w:tab w:val="center" w:pos="4677" w:leader="none"/>
        <w:tab w:val="right" w:pos="9355" w:leader="none"/>
      </w:tabs>
    </w:pPr>
    <w:rPr>
      <w:szCs w:val="20"/>
    </w:rPr>
  </w:style>
  <w:style w:type="character" w:styleId="795" w:customStyle="1">
    <w:name w:val="Header Char"/>
    <w:uiPriority w:val="99"/>
  </w:style>
  <w:style w:type="paragraph" w:styleId="796">
    <w:name w:val="Footer"/>
    <w:basedOn w:val="762"/>
    <w:link w:val="958"/>
    <w:pPr>
      <w:tabs>
        <w:tab w:val="center" w:pos="4677" w:leader="none"/>
        <w:tab w:val="right" w:pos="9355" w:leader="none"/>
      </w:tabs>
    </w:pPr>
  </w:style>
  <w:style w:type="character" w:styleId="797" w:customStyle="1">
    <w:name w:val="Footer Char"/>
    <w:uiPriority w:val="99"/>
  </w:style>
  <w:style w:type="paragraph" w:styleId="798">
    <w:name w:val="Caption"/>
    <w:basedOn w:val="762"/>
    <w:next w:val="762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99" w:customStyle="1">
    <w:name w:val="Caption Char"/>
    <w:uiPriority w:val="99"/>
  </w:style>
  <w:style w:type="table" w:styleId="800">
    <w:name w:val="Table Grid"/>
    <w:basedOn w:val="773"/>
    <w:tblPr/>
  </w:style>
  <w:style w:type="table" w:styleId="801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2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3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4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5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6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7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842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3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7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1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2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3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4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85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86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87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88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89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90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91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2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3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4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5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6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7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8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9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0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1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2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3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4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5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06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07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08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09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10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11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12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3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4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5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6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7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8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9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0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1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2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3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4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5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926">
    <w:name w:val="Hyperlink"/>
    <w:rPr>
      <w:color w:val="0000ff"/>
      <w:u w:val="single"/>
    </w:rPr>
  </w:style>
  <w:style w:type="paragraph" w:styleId="927">
    <w:name w:val="footnote text"/>
    <w:basedOn w:val="762"/>
    <w:link w:val="928"/>
    <w:uiPriority w:val="99"/>
    <w:semiHidden/>
    <w:unhideWhenUsed/>
    <w:pPr>
      <w:spacing w:after="40"/>
    </w:pPr>
    <w:rPr>
      <w:sz w:val="18"/>
    </w:rPr>
  </w:style>
  <w:style w:type="character" w:styleId="928" w:customStyle="1">
    <w:name w:val="Текст сноски Знак"/>
    <w:link w:val="927"/>
    <w:uiPriority w:val="99"/>
    <w:rPr>
      <w:sz w:val="18"/>
    </w:rPr>
  </w:style>
  <w:style w:type="character" w:styleId="929">
    <w:name w:val="footnote reference"/>
    <w:uiPriority w:val="99"/>
    <w:unhideWhenUsed/>
    <w:rPr>
      <w:vertAlign w:val="superscript"/>
    </w:rPr>
  </w:style>
  <w:style w:type="paragraph" w:styleId="930">
    <w:name w:val="endnote text"/>
    <w:basedOn w:val="762"/>
    <w:link w:val="931"/>
    <w:uiPriority w:val="99"/>
    <w:semiHidden/>
    <w:unhideWhenUsed/>
    <w:rPr>
      <w:sz w:val="20"/>
    </w:rPr>
  </w:style>
  <w:style w:type="character" w:styleId="931" w:customStyle="1">
    <w:name w:val="Текст концевой сноски Знак"/>
    <w:link w:val="930"/>
    <w:uiPriority w:val="99"/>
    <w:rPr>
      <w:sz w:val="20"/>
    </w:rPr>
  </w:style>
  <w:style w:type="character" w:styleId="932">
    <w:name w:val="endnote reference"/>
    <w:uiPriority w:val="99"/>
    <w:semiHidden/>
    <w:unhideWhenUsed/>
    <w:rPr>
      <w:vertAlign w:val="superscript"/>
    </w:rPr>
  </w:style>
  <w:style w:type="paragraph" w:styleId="933">
    <w:name w:val="toc 1"/>
    <w:basedOn w:val="762"/>
    <w:next w:val="762"/>
    <w:uiPriority w:val="39"/>
    <w:unhideWhenUsed/>
    <w:pPr>
      <w:spacing w:after="57"/>
    </w:pPr>
  </w:style>
  <w:style w:type="paragraph" w:styleId="934">
    <w:name w:val="toc 2"/>
    <w:basedOn w:val="762"/>
    <w:next w:val="762"/>
    <w:uiPriority w:val="39"/>
    <w:unhideWhenUsed/>
    <w:pPr>
      <w:ind w:left="283"/>
      <w:spacing w:after="57"/>
    </w:pPr>
  </w:style>
  <w:style w:type="paragraph" w:styleId="935">
    <w:name w:val="toc 3"/>
    <w:basedOn w:val="762"/>
    <w:next w:val="762"/>
    <w:uiPriority w:val="39"/>
    <w:unhideWhenUsed/>
    <w:pPr>
      <w:ind w:left="567"/>
      <w:spacing w:after="57"/>
    </w:pPr>
  </w:style>
  <w:style w:type="paragraph" w:styleId="936">
    <w:name w:val="toc 4"/>
    <w:basedOn w:val="762"/>
    <w:next w:val="762"/>
    <w:uiPriority w:val="39"/>
    <w:unhideWhenUsed/>
    <w:pPr>
      <w:ind w:left="850"/>
      <w:spacing w:after="57"/>
    </w:pPr>
  </w:style>
  <w:style w:type="paragraph" w:styleId="937">
    <w:name w:val="toc 5"/>
    <w:basedOn w:val="762"/>
    <w:next w:val="762"/>
    <w:uiPriority w:val="39"/>
    <w:unhideWhenUsed/>
    <w:pPr>
      <w:ind w:left="1134"/>
      <w:spacing w:after="57"/>
    </w:pPr>
  </w:style>
  <w:style w:type="paragraph" w:styleId="938">
    <w:name w:val="toc 6"/>
    <w:basedOn w:val="762"/>
    <w:next w:val="762"/>
    <w:uiPriority w:val="39"/>
    <w:unhideWhenUsed/>
    <w:pPr>
      <w:ind w:left="1417"/>
      <w:spacing w:after="57"/>
    </w:pPr>
  </w:style>
  <w:style w:type="paragraph" w:styleId="939">
    <w:name w:val="toc 7"/>
    <w:basedOn w:val="762"/>
    <w:next w:val="762"/>
    <w:uiPriority w:val="39"/>
    <w:unhideWhenUsed/>
    <w:pPr>
      <w:ind w:left="1701"/>
      <w:spacing w:after="57"/>
    </w:pPr>
  </w:style>
  <w:style w:type="paragraph" w:styleId="940">
    <w:name w:val="toc 8"/>
    <w:basedOn w:val="762"/>
    <w:next w:val="762"/>
    <w:uiPriority w:val="39"/>
    <w:unhideWhenUsed/>
    <w:pPr>
      <w:ind w:left="1984"/>
      <w:spacing w:after="57"/>
    </w:pPr>
  </w:style>
  <w:style w:type="paragraph" w:styleId="941">
    <w:name w:val="toc 9"/>
    <w:basedOn w:val="762"/>
    <w:next w:val="762"/>
    <w:uiPriority w:val="39"/>
    <w:unhideWhenUsed/>
    <w:pPr>
      <w:ind w:left="2268"/>
      <w:spacing w:after="57"/>
    </w:pPr>
  </w:style>
  <w:style w:type="paragraph" w:styleId="942">
    <w:name w:val="TOC Heading"/>
    <w:uiPriority w:val="39"/>
    <w:unhideWhenUsed/>
    <w:rPr>
      <w:lang w:eastAsia="zh-CN"/>
    </w:rPr>
  </w:style>
  <w:style w:type="paragraph" w:styleId="943">
    <w:name w:val="table of figures"/>
    <w:basedOn w:val="762"/>
    <w:next w:val="762"/>
    <w:uiPriority w:val="99"/>
    <w:unhideWhenUsed/>
  </w:style>
  <w:style w:type="paragraph" w:styleId="944">
    <w:name w:val="Body Text Indent"/>
    <w:basedOn w:val="762"/>
    <w:link w:val="959"/>
    <w:pPr>
      <w:ind w:firstLine="720"/>
      <w:jc w:val="both"/>
    </w:pPr>
    <w:rPr>
      <w:sz w:val="28"/>
    </w:rPr>
  </w:style>
  <w:style w:type="paragraph" w:styleId="945">
    <w:name w:val="Balloon Text"/>
    <w:basedOn w:val="762"/>
    <w:semiHidden/>
    <w:rPr>
      <w:rFonts w:ascii="Tahoma" w:hAnsi="Tahoma" w:cs="Tahoma"/>
      <w:sz w:val="16"/>
      <w:szCs w:val="16"/>
    </w:rPr>
  </w:style>
  <w:style w:type="paragraph" w:styleId="946">
    <w:name w:val="Body Text"/>
    <w:basedOn w:val="762"/>
    <w:pPr>
      <w:spacing w:after="120"/>
    </w:pPr>
  </w:style>
  <w:style w:type="paragraph" w:styleId="947">
    <w:name w:val="Normal (Web)"/>
    <w:basedOn w:val="762"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948">
    <w:name w:val="Body Text 2"/>
    <w:basedOn w:val="762"/>
    <w:link w:val="956"/>
    <w:pPr>
      <w:spacing w:after="120" w:line="480" w:lineRule="auto"/>
    </w:pPr>
  </w:style>
  <w:style w:type="paragraph" w:styleId="949">
    <w:name w:val="Body Text Indent 2"/>
    <w:basedOn w:val="762"/>
    <w:pPr>
      <w:ind w:left="283"/>
      <w:spacing w:after="120" w:line="480" w:lineRule="auto"/>
    </w:pPr>
  </w:style>
  <w:style w:type="paragraph" w:styleId="950">
    <w:name w:val="Body Text 3"/>
    <w:basedOn w:val="762"/>
    <w:pPr>
      <w:spacing w:after="120"/>
    </w:pPr>
    <w:rPr>
      <w:sz w:val="16"/>
      <w:szCs w:val="16"/>
    </w:rPr>
  </w:style>
  <w:style w:type="paragraph" w:styleId="951" w:customStyle="1">
    <w:name w:val="ConsPlusNormal"/>
    <w:link w:val="960"/>
    <w:pPr>
      <w:ind w:firstLine="720"/>
      <w:widowControl w:val="off"/>
    </w:pPr>
    <w:rPr>
      <w:rFonts w:ascii="Arial" w:hAnsi="Arial" w:cs="Arial"/>
    </w:rPr>
  </w:style>
  <w:style w:type="paragraph" w:styleId="952" w:customStyle="1">
    <w:name w:val="ConsPlusTitle"/>
    <w:uiPriority w:val="99"/>
    <w:pPr>
      <w:widowControl w:val="off"/>
    </w:pPr>
    <w:rPr>
      <w:rFonts w:ascii="Arial" w:hAnsi="Arial" w:cs="Arial"/>
      <w:b/>
      <w:bCs/>
    </w:rPr>
  </w:style>
  <w:style w:type="character" w:styleId="953">
    <w:name w:val="Strong"/>
    <w:qFormat/>
    <w:rPr>
      <w:b/>
      <w:bCs/>
    </w:rPr>
  </w:style>
  <w:style w:type="character" w:styleId="954" w:customStyle="1">
    <w:name w:val="Верхний колонтитул Знак"/>
    <w:link w:val="794"/>
    <w:uiPriority w:val="99"/>
    <w:rPr>
      <w:sz w:val="24"/>
      <w:lang w:val="ru-RU" w:eastAsia="ru-RU" w:bidi="ar-SA"/>
    </w:rPr>
  </w:style>
  <w:style w:type="paragraph" w:styleId="955" w:customStyle="1">
    <w:name w:val="Название"/>
    <w:basedOn w:val="762"/>
    <w:qFormat/>
    <w:pPr>
      <w:jc w:val="center"/>
    </w:pPr>
    <w:rPr>
      <w:b/>
      <w:bCs/>
    </w:rPr>
  </w:style>
  <w:style w:type="character" w:styleId="956" w:customStyle="1">
    <w:name w:val="Основной текст 2 Знак"/>
    <w:link w:val="948"/>
    <w:rPr>
      <w:sz w:val="24"/>
      <w:szCs w:val="24"/>
      <w:lang w:val="ru-RU" w:eastAsia="ru-RU" w:bidi="ar-SA"/>
    </w:rPr>
  </w:style>
  <w:style w:type="character" w:styleId="957" w:customStyle="1">
    <w:name w:val="comments1"/>
    <w:rPr>
      <w:rFonts w:ascii="Tahoma" w:hAnsi="Tahoma" w:cs="Tahoma"/>
      <w:color w:val="ffffff"/>
      <w:sz w:val="14"/>
      <w:szCs w:val="14"/>
    </w:rPr>
  </w:style>
  <w:style w:type="character" w:styleId="958" w:customStyle="1">
    <w:name w:val="Нижний колонтитул Знак"/>
    <w:link w:val="796"/>
    <w:rPr>
      <w:sz w:val="24"/>
      <w:szCs w:val="24"/>
    </w:rPr>
  </w:style>
  <w:style w:type="character" w:styleId="959" w:customStyle="1">
    <w:name w:val="Основной текст с отступом Знак"/>
    <w:link w:val="944"/>
    <w:rPr>
      <w:sz w:val="28"/>
      <w:szCs w:val="24"/>
    </w:rPr>
  </w:style>
  <w:style w:type="character" w:styleId="960" w:customStyle="1">
    <w:name w:val="ConsPlusNormal Знак"/>
    <w:link w:val="951"/>
    <w:rPr>
      <w:rFonts w:ascii="Arial" w:hAnsi="Arial" w:cs="Arial"/>
    </w:rPr>
  </w:style>
  <w:style w:type="paragraph" w:styleId="961">
    <w:name w:val="annotation text"/>
    <w:basedOn w:val="762"/>
    <w:link w:val="962"/>
    <w:rPr>
      <w:sz w:val="20"/>
      <w:szCs w:val="20"/>
    </w:rPr>
  </w:style>
  <w:style w:type="character" w:styleId="962" w:customStyle="1">
    <w:name w:val="Текст примечания Знак"/>
    <w:basedOn w:val="772"/>
    <w:link w:val="961"/>
  </w:style>
  <w:style w:type="paragraph" w:styleId="963">
    <w:name w:val="HTML Preformatted"/>
    <w:basedOn w:val="762"/>
    <w:link w:val="964"/>
    <w:uiPriority w:val="99"/>
    <w:unhideWhenUsed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character" w:styleId="964" w:customStyle="1">
    <w:name w:val="Стандартный HTML Знак"/>
    <w:link w:val="963"/>
    <w:uiPriority w:val="99"/>
    <w:rPr>
      <w:rFonts w:ascii="Courier New" w:hAnsi="Courier New" w:cs="Courier New"/>
    </w:rPr>
  </w:style>
  <w:style w:type="paragraph" w:styleId="965">
    <w:name w:val="Revision"/>
    <w:hidden/>
    <w:uiPriority w:val="99"/>
    <w:semiHidden/>
    <w:rPr>
      <w:sz w:val="24"/>
      <w:szCs w:val="24"/>
    </w:rPr>
  </w:style>
  <w:style w:type="paragraph" w:styleId="966" w:customStyle="1">
    <w:name w:val="msonormal"/>
    <w:basedOn w:val="762"/>
    <w:pPr>
      <w:spacing w:before="100" w:beforeAutospacing="1" w:after="100" w:afterAutospacing="1"/>
    </w:pPr>
  </w:style>
  <w:style w:type="paragraph" w:styleId="967" w:customStyle="1">
    <w:name w:val="Default"/>
    <w:rPr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Company>User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Гальмак</dc:creator>
  <cp:revision>43</cp:revision>
  <dcterms:created xsi:type="dcterms:W3CDTF">2024-05-22T07:20:00Z</dcterms:created>
  <dcterms:modified xsi:type="dcterms:W3CDTF">2024-05-24T15:49:00Z</dcterms:modified>
  <cp:version>1048576</cp:version>
</cp:coreProperties>
</file>