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/>
    </w:p>
    <w:p>
      <w:pPr>
        <w:pStyle w:val="82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/>
    </w:p>
    <w:p>
      <w:pPr>
        <w:pStyle w:val="828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28"/>
        <w:ind w:left="0" w:right="5386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</w:t>
      </w:r>
      <w:r>
        <w:rPr>
          <w:sz w:val="28"/>
          <w:szCs w:val="28"/>
        </w:rPr>
        <w:t xml:space="preserve"> тарифов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на услуги, предоставляемые муниципальным </w:t>
      </w:r>
      <w:r>
        <w:rPr>
          <w:sz w:val="28"/>
          <w:szCs w:val="28"/>
        </w:rPr>
        <w:t xml:space="preserve">автономным </w:t>
      </w:r>
      <w:r>
        <w:rPr>
          <w:sz w:val="28"/>
          <w:szCs w:val="28"/>
        </w:rPr>
        <w:t xml:space="preserve">дошкольным образовательным учреждением города Нижневартовска детским садом   № 17 </w:t>
      </w:r>
      <w:r>
        <w:rPr>
          <w:rFonts w:eastAsia="Calibri"/>
          <w:sz w:val="28"/>
          <w:szCs w:val="28"/>
        </w:rPr>
        <w:t xml:space="preserve">"</w:t>
      </w:r>
      <w:r>
        <w:rPr>
          <w:rFonts w:eastAsia="Calibri"/>
          <w:sz w:val="28"/>
          <w:szCs w:val="28"/>
        </w:rPr>
        <w:t xml:space="preserve">Ладушки</w:t>
      </w:r>
      <w:r>
        <w:rPr>
          <w:rFonts w:eastAsia="Calibri"/>
          <w:sz w:val="28"/>
          <w:szCs w:val="28"/>
        </w:rPr>
        <w:t xml:space="preserve">"</w:t>
      </w:r>
      <w:r>
        <w:rPr>
          <w:rFonts w:eastAsia="Calibri"/>
          <w:sz w:val="28"/>
          <w:szCs w:val="28"/>
        </w:rPr>
      </w:r>
      <w:r/>
    </w:p>
    <w:p>
      <w:pPr>
        <w:pStyle w:val="828"/>
        <w:jc w:val="both"/>
      </w:pPr>
      <w:r/>
      <w:r/>
    </w:p>
    <w:p>
      <w:pPr>
        <w:pStyle w:val="828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28"/>
        <w:jc w:val="both"/>
      </w:pPr>
      <w:r/>
      <w:r/>
    </w:p>
    <w:p>
      <w:pPr>
        <w:pStyle w:val="82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</w:t>
      </w:r>
      <w:r>
        <w:rPr>
          <w:sz w:val="28"/>
          <w:szCs w:val="28"/>
        </w:rPr>
        <w:t xml:space="preserve">                     </w:t>
      </w:r>
      <w:r>
        <w:rPr>
          <w:rFonts w:eastAsia="Calibri"/>
          <w:sz w:val="28"/>
          <w:szCs w:val="28"/>
        </w:rPr>
        <w:t xml:space="preserve">"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</w:rPr>
        <w:t xml:space="preserve">"</w:t>
      </w:r>
      <w:r>
        <w:rPr>
          <w:rFonts w:eastAsia="Calibri"/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решением Д</w:t>
      </w:r>
      <w:r>
        <w:rPr>
          <w:rFonts w:eastAsia="Calibri"/>
          <w:sz w:val="28"/>
          <w:szCs w:val="28"/>
        </w:rPr>
        <w:t xml:space="preserve">умы города </w:t>
      </w:r>
      <w:r>
        <w:rPr>
          <w:rFonts w:eastAsia="Calibri"/>
          <w:sz w:val="28"/>
          <w:szCs w:val="28"/>
        </w:rPr>
        <w:t xml:space="preserve">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 xml:space="preserve">:</w:t>
      </w:r>
      <w:r/>
    </w:p>
    <w:p>
      <w:pPr>
        <w:pStyle w:val="828"/>
        <w:ind w:firstLine="709"/>
        <w:jc w:val="both"/>
      </w:pPr>
      <w:r/>
      <w:r/>
    </w:p>
    <w:p>
      <w:pPr>
        <w:pStyle w:val="82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тарифы, рассчитанные методом экономически обоснованных расходов, на услуги, предоставляемые </w:t>
      </w:r>
      <w:r>
        <w:rPr>
          <w:sz w:val="28"/>
          <w:szCs w:val="28"/>
        </w:rPr>
        <w:t xml:space="preserve">муниципальным </w:t>
      </w:r>
      <w:r>
        <w:rPr>
          <w:sz w:val="28"/>
          <w:szCs w:val="28"/>
        </w:rPr>
        <w:t xml:space="preserve">автономным </w:t>
      </w:r>
      <w:r>
        <w:rPr>
          <w:sz w:val="28"/>
          <w:szCs w:val="28"/>
        </w:rPr>
        <w:t xml:space="preserve">дошкольным образовательным учреждением </w:t>
      </w:r>
      <w:r>
        <w:rPr>
          <w:sz w:val="28"/>
          <w:szCs w:val="28"/>
        </w:rPr>
        <w:t xml:space="preserve">города Нижневартовска</w:t>
      </w:r>
      <w:r>
        <w:rPr>
          <w:sz w:val="28"/>
          <w:szCs w:val="28"/>
        </w:rPr>
        <w:t xml:space="preserve"> детским садом № 17 </w:t>
      </w:r>
      <w:r>
        <w:rPr>
          <w:rFonts w:eastAsia="Calibri"/>
          <w:sz w:val="28"/>
          <w:szCs w:val="28"/>
        </w:rPr>
        <w:t xml:space="preserve">"</w:t>
      </w:r>
      <w:r>
        <w:rPr>
          <w:rFonts w:eastAsia="Calibri"/>
          <w:sz w:val="28"/>
          <w:szCs w:val="28"/>
        </w:rPr>
        <w:t xml:space="preserve">Ладушки</w:t>
      </w:r>
      <w:r>
        <w:rPr>
          <w:rFonts w:eastAsia="Calibri"/>
          <w:sz w:val="28"/>
          <w:szCs w:val="28"/>
        </w:rPr>
        <w:t xml:space="preserve">"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дополнительным видам деятельности, согласно приложению.</w:t>
      </w:r>
      <w:r>
        <w:rPr>
          <w:sz w:val="28"/>
          <w:szCs w:val="28"/>
        </w:rPr>
      </w:r>
      <w:r/>
    </w:p>
    <w:p>
      <w:pPr>
        <w:pStyle w:val="828"/>
        <w:ind w:firstLine="709"/>
        <w:jc w:val="both"/>
      </w:pPr>
      <w:r/>
      <w:r/>
    </w:p>
    <w:p>
      <w:pPr>
        <w:pStyle w:val="82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Департаменту общественных коммуникаций и молодежной политики администрации города (</w:t>
      </w:r>
      <w:r>
        <w:rPr>
          <w:sz w:val="28"/>
          <w:szCs w:val="28"/>
        </w:rPr>
        <w:t xml:space="preserve">В.А. Мыльников</w:t>
      </w:r>
      <w:r>
        <w:rPr>
          <w:sz w:val="28"/>
          <w:szCs w:val="28"/>
        </w:rPr>
        <w:t xml:space="preserve">) обеспечить официальное опубликование постановления.</w:t>
      </w:r>
      <w:r>
        <w:rPr>
          <w:sz w:val="28"/>
          <w:szCs w:val="28"/>
        </w:rPr>
      </w:r>
      <w:r/>
    </w:p>
    <w:p>
      <w:pPr>
        <w:pStyle w:val="828"/>
        <w:ind w:firstLine="709"/>
        <w:jc w:val="both"/>
      </w:pPr>
      <w:r/>
      <w:r/>
    </w:p>
    <w:p>
      <w:pPr>
        <w:pStyle w:val="82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Постановление вступает в силу после его официального опубликования.</w:t>
      </w:r>
      <w:r/>
    </w:p>
    <w:p>
      <w:pPr>
        <w:pStyle w:val="828"/>
        <w:ind w:firstLine="709"/>
        <w:jc w:val="both"/>
      </w:pPr>
      <w:r/>
      <w:r/>
    </w:p>
    <w:p>
      <w:pPr>
        <w:pStyle w:val="82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highlight w:val="white"/>
        </w:rPr>
        <w:t xml:space="preserve">Контроль за выполнением постановления возложить на заместителя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главы города, директора департамента по социальной политике администрации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города Д.А. Котова, директора департамента образования администрации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города О.С. Серебренникову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</w:r>
      <w:r/>
    </w:p>
    <w:p>
      <w:pPr>
        <w:pStyle w:val="828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828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</w:t>
      </w:r>
      <w:r>
        <w:rPr>
          <w:sz w:val="28"/>
          <w:szCs w:val="28"/>
        </w:rPr>
        <w:t xml:space="preserve"> города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Д.А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Кощенко</w:t>
      </w:r>
      <w:r>
        <w:rPr>
          <w:sz w:val="28"/>
          <w:szCs w:val="28"/>
        </w:rPr>
      </w:r>
      <w:r/>
    </w:p>
    <w:p>
      <w:pPr>
        <w:pStyle w:val="828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к постановлению</w:t>
      </w:r>
      <w:r/>
    </w:p>
    <w:p>
      <w:pPr>
        <w:pStyle w:val="828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/>
    </w:p>
    <w:p>
      <w:pPr>
        <w:pStyle w:val="828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__________</w:t>
      </w:r>
      <w:r>
        <w:rPr>
          <w:sz w:val="28"/>
          <w:szCs w:val="28"/>
        </w:rPr>
      </w:r>
      <w:r/>
    </w:p>
    <w:p>
      <w:pPr>
        <w:pStyle w:val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ТАРИФЫ</w:t>
      </w:r>
      <w:r/>
    </w:p>
    <w:p>
      <w:pPr>
        <w:pStyle w:val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услуги, предоставляемые</w:t>
      </w:r>
      <w:r/>
    </w:p>
    <w:p>
      <w:pPr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муниципальным </w:t>
      </w:r>
      <w:r>
        <w:rPr>
          <w:b/>
          <w:bCs/>
          <w:sz w:val="28"/>
          <w:szCs w:val="28"/>
        </w:rPr>
        <w:t xml:space="preserve">автономным </w:t>
      </w:r>
      <w:r>
        <w:rPr>
          <w:b/>
          <w:bCs/>
          <w:sz w:val="28"/>
          <w:szCs w:val="28"/>
        </w:rPr>
        <w:t xml:space="preserve">дошкольным </w:t>
      </w:r>
      <w:r>
        <w:rPr>
          <w:b/>
          <w:bCs/>
          <w:sz w:val="28"/>
          <w:szCs w:val="28"/>
        </w:rPr>
        <w:t xml:space="preserve">образовательным учреждением </w:t>
      </w:r>
      <w:r>
        <w:rPr>
          <w:b/>
          <w:bCs/>
          <w:sz w:val="28"/>
          <w:szCs w:val="28"/>
        </w:rPr>
        <w:t xml:space="preserve">города Нижневартовска </w:t>
      </w:r>
      <w:r>
        <w:rPr>
          <w:b/>
          <w:bCs/>
          <w:sz w:val="28"/>
          <w:szCs w:val="28"/>
        </w:rPr>
        <w:t xml:space="preserve">детским садом</w:t>
      </w:r>
      <w:r>
        <w:rPr>
          <w:b/>
          <w:bCs/>
          <w:sz w:val="28"/>
          <w:szCs w:val="28"/>
        </w:rPr>
        <w:t xml:space="preserve"> № 17 </w:t>
      </w:r>
      <w:r>
        <w:rPr>
          <w:b/>
          <w:bCs/>
          <w:sz w:val="28"/>
          <w:szCs w:val="28"/>
        </w:rPr>
        <w:t xml:space="preserve">"</w:t>
      </w:r>
      <w:r>
        <w:rPr>
          <w:b/>
          <w:bCs/>
          <w:sz w:val="28"/>
          <w:szCs w:val="28"/>
        </w:rPr>
        <w:t xml:space="preserve">Ладушки</w:t>
      </w:r>
      <w:r>
        <w:rPr>
          <w:b/>
          <w:bCs/>
          <w:sz w:val="28"/>
          <w:szCs w:val="28"/>
        </w:rPr>
        <w:t xml:space="preserve">"</w:t>
      </w:r>
      <w:r>
        <w:rPr>
          <w:b/>
          <w:bCs/>
          <w:sz w:val="28"/>
          <w:szCs w:val="28"/>
          <w14:ligatures w14:val="none"/>
        </w:rPr>
      </w:r>
      <w:r/>
    </w:p>
    <w:p>
      <w:pPr>
        <w:pStyle w:val="828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дополнительным видам деятельности</w:t>
      </w:r>
      <w:r>
        <w:rPr>
          <w:b/>
          <w:sz w:val="28"/>
          <w:szCs w:val="28"/>
        </w:rPr>
      </w:r>
      <w:r/>
    </w:p>
    <w:p>
      <w:pPr>
        <w:pStyle w:val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tbl>
      <w:tblPr>
        <w:tblW w:w="0" w:type="auto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2126"/>
        <w:gridCol w:w="1559"/>
        <w:gridCol w:w="1"/>
      </w:tblGrid>
      <w:tr>
        <w:trPr>
          <w:gridAfter w:val="1"/>
          <w:trHeight w:val="852"/>
        </w:trPr>
        <w:tc>
          <w:tcPr>
            <w:tcMar>
              <w:top w:w="0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28"/>
              <w:jc w:val="center"/>
              <w:rPr>
                <w:b/>
              </w:rPr>
            </w:pPr>
            <w:r>
              <w:rPr>
                <w:b/>
              </w:rPr>
              <w:t xml:space="preserve">№</w:t>
            </w:r>
            <w:r/>
          </w:p>
          <w:p>
            <w:pPr>
              <w:pStyle w:val="828"/>
              <w:jc w:val="center"/>
              <w:rPr>
                <w:b/>
              </w:rPr>
            </w:pPr>
            <w:r>
              <w:rPr>
                <w:b/>
              </w:rPr>
              <w:t xml:space="preserve">п/п</w:t>
            </w:r>
            <w:r/>
          </w:p>
        </w:tc>
        <w:tc>
          <w:tcPr>
            <w:tcMar>
              <w:top w:w="0" w:type="dxa"/>
              <w:bottom w:w="0" w:type="dxa"/>
            </w:tcMar>
            <w:tcW w:w="5386" w:type="dxa"/>
            <w:vAlign w:val="top"/>
            <w:textDirection w:val="lrTb"/>
            <w:noWrap w:val="false"/>
          </w:tcPr>
          <w:p>
            <w:pPr>
              <w:pStyle w:val="828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услуги</w:t>
            </w:r>
            <w:r/>
          </w:p>
        </w:tc>
        <w:tc>
          <w:tcPr>
            <w:tcMar>
              <w:top w:w="0" w:type="dxa"/>
              <w:bottom w:w="0" w:type="dxa"/>
            </w:tcMar>
            <w:tcW w:w="2126" w:type="dxa"/>
            <w:vAlign w:val="top"/>
            <w:textDirection w:val="lrTb"/>
            <w:noWrap w:val="false"/>
          </w:tcPr>
          <w:p>
            <w:pPr>
              <w:pStyle w:val="828"/>
              <w:ind w:left="-113" w:right="-113"/>
              <w:jc w:val="center"/>
            </w:pPr>
            <w:r>
              <w:rPr>
                <w:b/>
                <w:sz w:val="22"/>
                <w:szCs w:val="22"/>
              </w:rPr>
              <w:t xml:space="preserve">Продолжительность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828"/>
              <w:ind w:left="-113" w:right="-113"/>
              <w:jc w:val="center"/>
            </w:pPr>
            <w:r>
              <w:rPr>
                <w:b/>
                <w:sz w:val="22"/>
                <w:szCs w:val="22"/>
              </w:rPr>
              <w:t xml:space="preserve">занятий/ 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828"/>
              <w:ind w:left="-113" w:right="-113"/>
              <w:jc w:val="center"/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828"/>
              <w:ind w:left="-113" w:right="-113"/>
              <w:jc w:val="center"/>
              <w:rPr>
                <w:bCs/>
              </w:rPr>
            </w:pPr>
            <w:r>
              <w:rPr>
                <w:b/>
                <w:sz w:val="22"/>
                <w:szCs w:val="22"/>
              </w:rPr>
              <w:t xml:space="preserve">порций</w:t>
            </w:r>
            <w:r>
              <w:rPr>
                <w:b/>
                <w:sz w:val="22"/>
                <w:szCs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pStyle w:val="828"/>
              <w:ind w:left="-113" w:right="-113"/>
              <w:jc w:val="center"/>
            </w:pPr>
            <w:r>
              <w:rPr>
                <w:b/>
                <w:sz w:val="22"/>
                <w:szCs w:val="22"/>
              </w:rPr>
              <w:t xml:space="preserve">Тариф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828"/>
              <w:ind w:left="-113" w:right="-113"/>
              <w:jc w:val="center"/>
            </w:pPr>
            <w:r>
              <w:rPr>
                <w:b/>
                <w:sz w:val="22"/>
                <w:szCs w:val="22"/>
              </w:rPr>
              <w:t xml:space="preserve">за 1 занятие/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828"/>
              <w:ind w:left="-113" w:right="-113"/>
              <w:jc w:val="center"/>
            </w:pPr>
            <w:r>
              <w:rPr>
                <w:b/>
                <w:sz w:val="22"/>
                <w:szCs w:val="22"/>
              </w:rPr>
              <w:t xml:space="preserve">порцию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828"/>
              <w:ind w:left="-113" w:right="-113"/>
              <w:jc w:val="center"/>
              <w:rPr>
                <w:bCs/>
              </w:rPr>
            </w:pPr>
            <w:r>
              <w:rPr>
                <w:b/>
                <w:sz w:val="22"/>
                <w:szCs w:val="22"/>
              </w:rPr>
              <w:t xml:space="preserve">(руб./чел.)</w:t>
            </w:r>
            <w:r>
              <w:rPr>
                <w:b/>
                <w:sz w:val="22"/>
                <w:szCs w:val="22"/>
              </w:rPr>
            </w:r>
            <w:r/>
          </w:p>
        </w:tc>
      </w:tr>
      <w:tr>
        <w:trPr>
          <w:trHeight w:val="822"/>
        </w:trPr>
        <w:tc>
          <w:tcPr>
            <w:tcMar>
              <w:top w:w="0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28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1.</w:t>
            </w:r>
            <w:r>
              <w:rPr>
                <w:color w:val="ff0000"/>
              </w:rPr>
            </w:r>
            <w:r/>
          </w:p>
        </w:tc>
        <w:tc>
          <w:tcPr>
            <w:tcMar>
              <w:top w:w="0" w:type="dxa"/>
              <w:bottom w:w="0" w:type="dxa"/>
            </w:tcMar>
            <w:tcW w:w="5386" w:type="dxa"/>
            <w:vAlign w:val="top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yellow"/>
              </w:rPr>
              <w:suppressLineNumbers w:val="0"/>
            </w:pPr>
            <w:r>
              <w:rPr>
                <w:sz w:val="22"/>
                <w:szCs w:val="22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shd w:val="clear" w:color="ffffff" w:themeColor="background1" w:fill="ffffff" w:themeFill="background1"/>
                <w:vertAlign w:val="baseline"/>
              </w:rPr>
              <w:t xml:space="preserve">Проведение занятий по развитию интеллектуально-творческих способностей у детей "Тикомоделирование"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shd w:val="clear" w:color="ffffff" w:themeColor="background1" w:fill="ffffff" w:themeFill="background1"/>
                <w:vertAlign w:val="baseline"/>
              </w:rPr>
            </w:r>
            <w:r>
              <w:rPr>
                <w:sz w:val="22"/>
                <w:szCs w:val="22"/>
                <w:highlight w:val="yellow"/>
              </w:rPr>
            </w:r>
            <w:r/>
          </w:p>
        </w:tc>
        <w:tc>
          <w:tcPr>
            <w:tcMar>
              <w:top w:w="0" w:type="dxa"/>
              <w:bottom w:w="0" w:type="dxa"/>
            </w:tcMar>
            <w:tcW w:w="2126" w:type="dxa"/>
            <w:vAlign w:val="top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Mar>
              <w:top w:w="0" w:type="dxa"/>
              <w:bottom w:w="0" w:type="dxa"/>
            </w:tcMar>
            <w:tcW w:w="1560" w:type="dxa"/>
            <w:vAlign w:val="top"/>
            <w:textDirection w:val="lrTb"/>
            <w:noWrap w:val="false"/>
          </w:tcPr>
          <w:p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117</w:t>
            </w:r>
            <w:r>
              <w:rPr>
                <w:highlight w:val="yellow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</w:t>
            </w:r>
            <w:r>
              <w:rPr>
                <w:color w:val="auto"/>
                <w:highlight w:val="white"/>
              </w:rPr>
              <w:t xml:space="preserve">.</w:t>
            </w:r>
            <w:r>
              <w:rPr>
                <w:color w:val="auto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5386" w:type="dxa"/>
            <w:vAlign w:val="top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профилактике нарушений осанки и плоскостопия у детей "Здоровей-ка"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8 человек)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1560" w:type="dxa"/>
            <w:vAlign w:val="top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116</w:t>
            </w:r>
            <w:r>
              <w:rPr>
                <w:highlight w:val="white"/>
              </w:rPr>
            </w:r>
            <w:r/>
          </w:p>
        </w:tc>
      </w:tr>
      <w:tr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3.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логико-математических способностей у детей "Познавай-ка"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9 человек)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134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4.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вокальных способностей у детей "Камертон" </w:t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8 человек)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123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5.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театральных способностей у детей  "Театральные ступеньки"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8 человек)</w:t>
            </w: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103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6.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 познавательных способностей у детей "Абвгдейка" </w:t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7 человек)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114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7.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 интеллектуальных способностей  у детей "Сказки фиолетового леса"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7 человек)</w:t>
            </w: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/>
          </w:p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jc w:val="center"/>
              <w:rPr>
                <w:color w:val="auto"/>
                <w14:ligatures w14:val="none"/>
              </w:rPr>
            </w:pP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117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8.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обучению детей игре         в шахматы  "Юный шахматист"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8 человек)</w:t>
            </w: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101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9.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обучению детей элементам аквааэробики "Аквааэробика"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7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112</w:t>
            </w:r>
            <w:r>
              <w:rPr>
                <w:highlight w:val="yellow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танцевальных способностей у детей "Топатушки" </w:t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8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111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11.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обучению  детей основам декоративно-прикладного искусства "Золотые ручки"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7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110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12.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Организация досуговых мероприятий для детей   "С днем рождения"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(индивидуально)</w:t>
            </w:r>
            <w:r/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60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3110</w:t>
            </w:r>
            <w:r>
              <w:rPr>
                <w:highlight w:val="white"/>
              </w:rPr>
            </w:r>
            <w:r/>
          </w:p>
        </w:tc>
      </w:tr>
      <w:tr>
        <w:trPr>
          <w:trHeight w:val="9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13.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 художественных способностей у детей "Цветные ладошки"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7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</w:rPr>
              <w:t xml:space="preserve">6</w:t>
            </w:r>
            <w:r>
              <w:rPr>
                <w:highlight w:val="white"/>
              </w:rPr>
            </w:r>
            <w:r/>
          </w:p>
        </w:tc>
      </w:tr>
      <w:tr>
        <w:trPr>
          <w:trHeight w:val="8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14.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обучению и развитию детей на основе компьютерных технологий "Занимательный компьютер"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color w:val="auto"/>
                <w:highlight w:val="white"/>
              </w:rPr>
              <w:t xml:space="preserve">30 мин.</w:t>
            </w:r>
            <w:r>
              <w:rPr>
                <w:highlight w:val="white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114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15.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для детей в сенсорной комнате "Волшебный мир сенсорной комнаты" 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116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16.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эмоционально-волевых способностей у детей "Сказка                          в песочнице"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7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114</w:t>
            </w:r>
            <w:r>
              <w:rPr>
                <w:highlight w:val="yellow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17.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обучению детей чтению "Занимательное азбуковедение"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/>
            <w:r/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106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18.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Предоставление услуг по развитию сенсорных способностей у детей раннего возраста (для детей, посещающих и не посещающих дошкольное учреждение)  "Разноцветная карусель" </w:t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172</w:t>
            </w:r>
            <w:r>
              <w:rPr>
                <w:highlight w:val="yellow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19.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творческих способностей у детей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Мультистудия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"  </w:t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(группа 6 человек)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200</w:t>
            </w:r>
            <w:r>
              <w:rPr>
                <w:highlight w:val="yellow"/>
              </w:rPr>
            </w:r>
            <w:r/>
          </w:p>
        </w:tc>
      </w:tr>
      <w:tr>
        <w:trPr>
          <w:trHeight w:val="8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20.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спортивно-интеллектуальных способностей у детей "Скалодром" (группа 6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204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21.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развитию технических способностей у детей "Технопарк"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r>
          </w:p>
          <w:p>
            <w:pPr>
              <w:contextualSpacing w:val="0"/>
              <w:jc w:val="both"/>
              <w:keepLines/>
              <w:keepNext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189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22.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 занятий по развитию естественно-научных способностей у детей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Экспериментариум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" (группа 6 человек)</w:t>
            </w:r>
            <w:r>
              <w:rPr>
                <w:sz w:val="22"/>
                <w:szCs w:val="22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  <w:p>
            <w:pPr>
              <w:pStyle w:val="828"/>
              <w:jc w:val="left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/>
          </w:p>
          <w:p>
            <w:pPr>
              <w:jc w:val="center"/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199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23.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Проведение занятий по обучению детей иностранным языкам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Веселый Английский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  <w:t xml:space="preserve">"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(группа 6 человек)</w:t>
            </w:r>
            <w:r>
              <w:rPr>
                <w:sz w:val="22"/>
                <w:szCs w:val="22"/>
                <w:highlight w:val="white"/>
              </w:rPr>
            </w: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</w:rPr>
            </w:r>
            <w:r/>
            <w:r/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30 мин.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135</w:t>
            </w:r>
            <w:r>
              <w:rPr>
                <w:highlight w:val="white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vMerge w:val="restart"/>
            <w:textDirection w:val="lrTb"/>
            <w:noWrap w:val="false"/>
          </w:tcPr>
          <w:p>
            <w:pPr>
              <w:pStyle w:val="828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24.</w:t>
            </w:r>
            <w:r>
              <w:rPr>
                <w:color w:val="auto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386" w:type="dxa"/>
            <w:vAlign w:val="top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/>
              <w:keepNext/>
              <w:widowControl/>
              <w:rPr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  <w:t xml:space="preserve">Изготовление и реализация кислородного коктейля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(индивидуально)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2"/>
                <w:highlight w:val="white"/>
                <w:u w:val="none"/>
                <w:vertAlign w:val="baselin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212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color w:val="auto"/>
              </w:rPr>
              <w:t xml:space="preserve">1 порция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156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highlight w:val="white"/>
                <w:u w:val="none"/>
                <w:vertAlign w:val="baseline"/>
              </w:rPr>
              <w:t xml:space="preserve">59</w:t>
            </w:r>
            <w:r>
              <w:rPr>
                <w:highlight w:val="white"/>
              </w:rPr>
            </w:r>
            <w:r/>
          </w:p>
        </w:tc>
      </w:tr>
    </w:tbl>
    <w:p>
      <w:pPr>
        <w:rPr>
          <w:color w:val="ff0000"/>
        </w:rPr>
      </w:pPr>
      <w:r>
        <w:rPr>
          <w:color w:val="ff0000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0">
    <w:name w:val="Heading 1"/>
    <w:basedOn w:val="828"/>
    <w:next w:val="828"/>
    <w:link w:val="65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1">
    <w:name w:val="Heading 1 Char"/>
    <w:link w:val="650"/>
    <w:uiPriority w:val="9"/>
    <w:rPr>
      <w:rFonts w:ascii="Arial" w:hAnsi="Arial" w:eastAsia="Arial" w:cs="Arial"/>
      <w:sz w:val="40"/>
      <w:szCs w:val="40"/>
    </w:rPr>
  </w:style>
  <w:style w:type="paragraph" w:styleId="652">
    <w:name w:val="Heading 2"/>
    <w:basedOn w:val="828"/>
    <w:next w:val="828"/>
    <w:link w:val="6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3">
    <w:name w:val="Heading 2 Char"/>
    <w:link w:val="652"/>
    <w:uiPriority w:val="9"/>
    <w:rPr>
      <w:rFonts w:ascii="Arial" w:hAnsi="Arial" w:eastAsia="Arial" w:cs="Arial"/>
      <w:sz w:val="34"/>
    </w:rPr>
  </w:style>
  <w:style w:type="paragraph" w:styleId="654">
    <w:name w:val="Heading 3"/>
    <w:basedOn w:val="828"/>
    <w:next w:val="828"/>
    <w:link w:val="6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5">
    <w:name w:val="Heading 3 Char"/>
    <w:link w:val="654"/>
    <w:uiPriority w:val="9"/>
    <w:rPr>
      <w:rFonts w:ascii="Arial" w:hAnsi="Arial" w:eastAsia="Arial" w:cs="Arial"/>
      <w:sz w:val="30"/>
      <w:szCs w:val="30"/>
    </w:rPr>
  </w:style>
  <w:style w:type="paragraph" w:styleId="656">
    <w:name w:val="Heading 4"/>
    <w:basedOn w:val="828"/>
    <w:next w:val="828"/>
    <w:link w:val="6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7">
    <w:name w:val="Heading 4 Char"/>
    <w:link w:val="656"/>
    <w:uiPriority w:val="9"/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828"/>
    <w:next w:val="828"/>
    <w:link w:val="6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9">
    <w:name w:val="Heading 5 Char"/>
    <w:link w:val="658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28"/>
    <w:next w:val="828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28"/>
    <w:next w:val="828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28"/>
    <w:next w:val="828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28"/>
    <w:next w:val="828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List Paragraph"/>
    <w:basedOn w:val="828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paragraph" w:styleId="670">
    <w:name w:val="Title"/>
    <w:basedOn w:val="828"/>
    <w:next w:val="828"/>
    <w:link w:val="67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1">
    <w:name w:val="Title Char"/>
    <w:link w:val="670"/>
    <w:uiPriority w:val="10"/>
    <w:rPr>
      <w:sz w:val="48"/>
      <w:szCs w:val="48"/>
    </w:rPr>
  </w:style>
  <w:style w:type="paragraph" w:styleId="672">
    <w:name w:val="Subtitle"/>
    <w:basedOn w:val="828"/>
    <w:next w:val="828"/>
    <w:link w:val="673"/>
    <w:uiPriority w:val="11"/>
    <w:qFormat/>
    <w:pPr>
      <w:spacing w:before="200" w:after="200"/>
    </w:pPr>
    <w:rPr>
      <w:sz w:val="24"/>
      <w:szCs w:val="24"/>
    </w:rPr>
  </w:style>
  <w:style w:type="character" w:styleId="673">
    <w:name w:val="Subtitle Char"/>
    <w:link w:val="672"/>
    <w:uiPriority w:val="11"/>
    <w:rPr>
      <w:sz w:val="24"/>
      <w:szCs w:val="24"/>
    </w:rPr>
  </w:style>
  <w:style w:type="paragraph" w:styleId="674">
    <w:name w:val="Quote"/>
    <w:basedOn w:val="828"/>
    <w:next w:val="828"/>
    <w:link w:val="675"/>
    <w:uiPriority w:val="29"/>
    <w:qFormat/>
    <w:pPr>
      <w:ind w:left="720" w:right="720"/>
    </w:pPr>
    <w:rPr>
      <w:i/>
    </w:rPr>
  </w:style>
  <w:style w:type="character" w:styleId="675">
    <w:name w:val="Quote Char"/>
    <w:link w:val="674"/>
    <w:uiPriority w:val="29"/>
    <w:rPr>
      <w:i/>
    </w:rPr>
  </w:style>
  <w:style w:type="paragraph" w:styleId="676">
    <w:name w:val="Intense Quote"/>
    <w:basedOn w:val="828"/>
    <w:next w:val="828"/>
    <w:link w:val="6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7">
    <w:name w:val="Intense Quote Char"/>
    <w:link w:val="676"/>
    <w:uiPriority w:val="30"/>
    <w:rPr>
      <w:i/>
    </w:rPr>
  </w:style>
  <w:style w:type="paragraph" w:styleId="678">
    <w:name w:val="Header"/>
    <w:basedOn w:val="828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Header Char"/>
    <w:link w:val="678"/>
    <w:uiPriority w:val="99"/>
  </w:style>
  <w:style w:type="paragraph" w:styleId="680">
    <w:name w:val="Footer"/>
    <w:basedOn w:val="828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Footer Char"/>
    <w:link w:val="680"/>
    <w:uiPriority w:val="99"/>
  </w:style>
  <w:style w:type="paragraph" w:styleId="682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3">
    <w:name w:val="Caption Char"/>
    <w:basedOn w:val="682"/>
    <w:link w:val="680"/>
    <w:uiPriority w:val="99"/>
  </w:style>
  <w:style w:type="table" w:styleId="68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next w:val="828"/>
    <w:link w:val="828"/>
    <w:qFormat/>
    <w:rPr>
      <w:sz w:val="24"/>
      <w:szCs w:val="24"/>
      <w:lang w:val="ru-RU" w:eastAsia="ru-RU" w:bidi="ar-SA"/>
    </w:rPr>
  </w:style>
  <w:style w:type="paragraph" w:styleId="829">
    <w:name w:val="Заголовок 1"/>
    <w:basedOn w:val="828"/>
    <w:next w:val="828"/>
    <w:link w:val="828"/>
    <w:qFormat/>
    <w:pPr>
      <w:jc w:val="center"/>
      <w:keepNext/>
      <w:outlineLvl w:val="0"/>
    </w:pPr>
    <w:rPr>
      <w:sz w:val="28"/>
    </w:rPr>
  </w:style>
  <w:style w:type="character" w:styleId="830">
    <w:name w:val="Основной шрифт абзаца"/>
    <w:next w:val="830"/>
    <w:link w:val="828"/>
    <w:semiHidden/>
  </w:style>
  <w:style w:type="table" w:styleId="831">
    <w:name w:val="Обычная таблица"/>
    <w:next w:val="831"/>
    <w:link w:val="828"/>
    <w:semiHidden/>
    <w:tblPr/>
  </w:style>
  <w:style w:type="numbering" w:styleId="832">
    <w:name w:val="Нет списка"/>
    <w:next w:val="832"/>
    <w:link w:val="828"/>
    <w:semiHidden/>
  </w:style>
  <w:style w:type="paragraph" w:styleId="833">
    <w:name w:val="Текст выноски"/>
    <w:basedOn w:val="828"/>
    <w:next w:val="833"/>
    <w:link w:val="834"/>
    <w:rPr>
      <w:rFonts w:ascii="Tahoma" w:hAnsi="Tahoma"/>
      <w:sz w:val="16"/>
      <w:szCs w:val="16"/>
      <w:lang w:val="en-US" w:eastAsia="en-US"/>
    </w:rPr>
  </w:style>
  <w:style w:type="character" w:styleId="834">
    <w:name w:val="Текст выноски Знак"/>
    <w:next w:val="834"/>
    <w:link w:val="833"/>
    <w:rPr>
      <w:rFonts w:ascii="Tahoma" w:hAnsi="Tahoma" w:cs="Tahoma"/>
      <w:sz w:val="16"/>
      <w:szCs w:val="16"/>
    </w:rPr>
  </w:style>
  <w:style w:type="paragraph" w:styleId="835">
    <w:name w:val="Верхний колонтитул"/>
    <w:basedOn w:val="828"/>
    <w:next w:val="835"/>
    <w:link w:val="836"/>
    <w:uiPriority w:val="99"/>
    <w:pPr>
      <w:tabs>
        <w:tab w:val="center" w:pos="4677" w:leader="none"/>
        <w:tab w:val="right" w:pos="9355" w:leader="none"/>
      </w:tabs>
    </w:pPr>
  </w:style>
  <w:style w:type="character" w:styleId="836">
    <w:name w:val="Верхний колонтитул Знак"/>
    <w:next w:val="836"/>
    <w:link w:val="835"/>
    <w:uiPriority w:val="99"/>
    <w:rPr>
      <w:sz w:val="24"/>
      <w:szCs w:val="24"/>
    </w:rPr>
  </w:style>
  <w:style w:type="paragraph" w:styleId="837">
    <w:name w:val="Нижний колонтитул"/>
    <w:basedOn w:val="828"/>
    <w:next w:val="837"/>
    <w:link w:val="838"/>
    <w:pPr>
      <w:tabs>
        <w:tab w:val="center" w:pos="4677" w:leader="none"/>
        <w:tab w:val="right" w:pos="9355" w:leader="none"/>
      </w:tabs>
    </w:pPr>
  </w:style>
  <w:style w:type="character" w:styleId="838">
    <w:name w:val="Нижний колонтитул Знак"/>
    <w:next w:val="838"/>
    <w:link w:val="837"/>
    <w:rPr>
      <w:sz w:val="24"/>
      <w:szCs w:val="24"/>
    </w:rPr>
  </w:style>
  <w:style w:type="paragraph" w:styleId="839">
    <w:name w:val="ConsPlusNormal"/>
    <w:next w:val="839"/>
    <w:link w:val="828"/>
    <w:pPr>
      <w:widowControl w:val="off"/>
    </w:pPr>
    <w:rPr>
      <w:sz w:val="24"/>
      <w:szCs w:val="24"/>
      <w:lang w:val="ru-RU" w:eastAsia="ru-RU" w:bidi="ar-SA"/>
    </w:rPr>
  </w:style>
  <w:style w:type="character" w:styleId="840" w:default="1">
    <w:name w:val="Default Paragraph Font"/>
    <w:uiPriority w:val="1"/>
    <w:semiHidden/>
    <w:unhideWhenUsed/>
  </w:style>
  <w:style w:type="numbering" w:styleId="841" w:default="1">
    <w:name w:val="No List"/>
    <w:uiPriority w:val="99"/>
    <w:semiHidden/>
    <w:unhideWhenUsed/>
  </w:style>
  <w:style w:type="table" w:styleId="84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Администрация г.Нижневартовска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revision>13</cp:revision>
  <dcterms:created xsi:type="dcterms:W3CDTF">2025-06-10T05:05:00Z</dcterms:created>
  <dcterms:modified xsi:type="dcterms:W3CDTF">2025-08-04T10:02:20Z</dcterms:modified>
  <cp:version>917504</cp:version>
</cp:coreProperties>
</file>