
<file path=[Content_Types].xml><?xml version="1.0" encoding="utf-8"?>
<Types xmlns="http://schemas.openxmlformats.org/package/2006/content-types">
  <Default Extension="wmf" ContentType="image/x-wmf"/>
  <Default Extension="png" ContentType="image/png"/>
  <Default Extension="jpeg" ContentType="image/jpeg"/>
  <Default Extension="xml" ContentType="application/xml"/>
  <Default Extension="rels" ContentType="application/vnd.openxmlformats-package.relationships+xml"/>
  <Default Extension="bin" ContentType="application/vnd.openxmlformats-officedocument.oleObject"/>
  <Override PartName="/docProps/core.xml" ContentType="application/vnd.openxmlformats-package.core-properties+xml"/>
  <Override PartName="/docProps/app.xml" ContentType="application/vnd.openxmlformats-officedocument.extended-properties+xml"/>
  <Override PartName="/word/footer2.xml" ContentType="application/vnd.openxmlformats-officedocument.wordprocessingml.footer+xml"/>
  <Override PartName="/word/footer1.xml" ContentType="application/vnd.openxmlformats-officedocument.wordprocessingml.footer+xml"/>
  <Override PartName="/word/header2.xml" ContentType="application/vnd.openxmlformats-officedocument.wordprocessingml.header+xml"/>
  <Override PartName="/word/header1.xml" ContentType="application/vnd.openxmlformats-officedocument.wordprocessingml.head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styles.xml" ContentType="application/vnd.openxmlformats-officedocument.wordprocessingml.styles+xml"/>
  <Override PartName="/word/settings.xml" ContentType="application/vnd.openxmlformats-officedocument.wordprocessingml.settings+xml"/>
  <Override PartName="/word/document.xml" ContentType="application/vnd.openxmlformats-officedocument.wordprocessingml.document.main+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a="http://schemas.openxmlformats.org/drawingml/2006/main" xmlns:wne="http://schemas.microsoft.com/office/word/2006/wordml" xmlns:wps="http://schemas.microsoft.com/office/word/2010/wordprocessingShape" mc:Ignorable="w14 w15 wp14">
  <w:body>
    <w:tbl>
      <w:tblPr>
        <w:tblW w:w="5000" w:type="pct"/>
        <w:tblInd w:w="0" w:type="dxa"/>
        <w:tblBorders>
          <w:top w:val="none"/>
          <w:left w:val="none"/>
          <w:bottom w:val="none"/>
          <w:right w:val="none"/>
          <w:insideH w:val="none"/>
          <w:insideV w:val="none"/>
        </w:tblBorders>
      </w:tblPr>
      <w:tblGrid>
        <w:gridCol w:w="10716"/>
      </w:tblGrid>
      <w:tr>
        <w:trPr>
          <w:trHeight w:val="3031" w:hRule="exact"/>
        </w:trPr>
        <w:tc>
          <w:tcPr>
            <w:tcW w:w="10716" w:type="dxa"/>
            <w:tcBorders>
              <w:top w:val="none"/>
              <w:left w:val="none"/>
              <w:bottom w:val="none"/>
              <w:right w:val="none"/>
            </w:tcBorders>
            <w:tcMar>
              <w:left w:w="80" w:type="dxa"/>
              <w:top w:w="60" w:type="dxa"/>
              <w:right w:w="80" w:type="dxa"/>
              <w:bottom w:w="60" w:type="dxa"/>
            </w:tcMar>
          </w:tcPr>
          <w:p>
            <w:pPr>
              <w:pStyle w:val="5"/>
            </w:pPr>
            <w:r>
              <w:rPr>
                <w:position w:val="-61"/>
              </w:rPr>
              <mc:AlternateContent>
                <mc:Choice Requires="wpg">
                  <w:drawing>
                    <wp:inline xmlns:wp="http://schemas.openxmlformats.org/drawingml/2006/wordprocessingDrawing" distT="0" distB="0" distL="0" distR="0">
                      <wp:extent cx="3810000" cy="904875"/>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r/>
                            </pic:nvPicPr>
                            <pic:blipFill>
                              <a:blip r:embed="rId10"/>
                              <a:srcRect/>
                              <a:stretch/>
                            </pic:blipFill>
                            <pic:spPr bwMode="auto">
                              <a:xfrm>
                                <a:off x="0" y="0"/>
                                <a:ext cx="3810000" cy="904875"/>
                              </a:xfrm>
                              <a:prstGeom prst="rect">
                                <a:avLst/>
                              </a:prstGeom>
                              <a:noFill/>
                              <a:ln>
                                <a:noFill/>
                              </a:ln>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0" o:spid="_x0000_s0" type="#_x0000_t75" style="width:300.0pt;height:71.2pt;mso-wrap-distance-left:0.0pt;mso-wrap-distance-top:0.0pt;mso-wrap-distance-right:0.0pt;mso-wrap-distance-bottom:0.0pt;" stroked="f">
                      <v:path textboxrect="0,0,0,0"/>
                      <v:imagedata r:id="rId10" o:title=""/>
                    </v:shape>
                  </w:pict>
                </mc:Fallback>
              </mc:AlternateContent>
            </w:r>
          </w:p>
        </w:tc>
      </w:tr>
      <w:tr>
        <w:trPr>
          <w:trHeight w:val="8335" w:hRule="exact"/>
        </w:trPr>
        <w:tc>
          <w:tcPr>
            <w:tcW w:w="10716" w:type="dxa"/>
            <w:tcBorders>
              <w:top w:val="none"/>
              <w:left w:val="none"/>
              <w:bottom w:val="none"/>
              <w:right w:val="none"/>
            </w:tcBorders>
            <w:tcMar>
              <w:left w:w="80" w:type="dxa"/>
              <w:top w:w="60" w:type="dxa"/>
              <w:right w:w="80" w:type="dxa"/>
              <w:bottom w:w="60" w:type="dxa"/>
            </w:tcMar>
            <w:vAlign w:val="center"/>
          </w:tcPr>
          <w:p>
            <w:pPr>
              <w:pStyle w:val="5"/>
              <w:jc w:val="center"/>
            </w:pPr>
            <w:r>
              <w:rPr>
                <w:sz w:val="48"/>
              </w:rPr>
              <w:t xml:space="preserve">Постановление Администрации города Нижневартовска от 31.07.2025 N 694</w:t>
              <w:br/>
              <w:t xml:space="preserve">(ред. от 17.06.2026)</w:t>
              <w:br/>
              <w:t xml:space="preserve">"О предоставлении грантов в форме субсидий победителям конкурса проектов (программ) в сфере профилактики незаконного потребления наркотических средств, психотропных веществ, антинаркотической пропаганды"</w:t>
              <w:br/>
              <w:t xml:space="preserve">(вместе с "Порядком предоставления грантов в форме субсидий победителям конкурса проектов (программ) в сфере профилактики незаконного потребления наркотических средств, психотропных веществ, антинаркотической пропаганды")</w:t>
            </w:r>
          </w:p>
        </w:tc>
      </w:tr>
      <w:tr>
        <w:trPr>
          <w:trHeight w:val="3031" w:hRule="exact"/>
        </w:trPr>
        <w:tc>
          <w:tcPr>
            <w:tcW w:w="10716" w:type="dxa"/>
            <w:tcBorders>
              <w:top w:val="none"/>
              <w:left w:val="none"/>
              <w:bottom w:val="none"/>
              <w:right w:val="none"/>
            </w:tcBorders>
            <w:tcMar>
              <w:left w:w="80" w:type="dxa"/>
              <w:top w:w="60" w:type="dxa"/>
              <w:right w:w="80" w:type="dxa"/>
              <w:bottom w:w="60" w:type="dxa"/>
            </w:tcMar>
            <w:vAlign w:val="center"/>
          </w:tcPr>
          <w:p>
            <w:pPr>
              <w:pStyle w:val="5"/>
              <w:jc w:val="center"/>
            </w:pPr>
            <w:r>
              <w:rPr>
                <w:sz w:val="28"/>
              </w:rPr>
              <w:t xml:space="preserve">Документ предоставлен </w:t>
            </w:r>
            <w:hyperlink r:id="rId11" w:tooltip="Ссылка на КонсультантПлюс" w:history="0">
              <w:r>
                <w:rPr>
                  <w:b/>
                  <w:color w:val="0000ff"/>
                  <w:sz w:val="28"/>
                </w:rPr>
                <w:t xml:space="preserve">КонсультантПлюс</w:t>
                <w:br/>
                <w:br/>
              </w:r>
            </w:hyperlink>
            <w:hyperlink r:id="rId12" w:tooltip="Ссылка на КонсультантПлюс" w:history="0">
              <w:r>
                <w:rPr>
                  <w:b/>
                  <w:color w:val="0000ff"/>
                  <w:sz w:val="28"/>
                </w:rPr>
                <w:t xml:space="preserve">www.consultant.ru</w:t>
              </w:r>
            </w:hyperlink>
            <w:r>
              <w:rPr>
                <w:sz w:val="28"/>
              </w:rPr>
              <w:br/>
              <w:br/>
              <w:t xml:space="preserve">Дата сохранения: 17.08.2026</w:t>
            </w:r>
            <w:r>
              <w:rPr>
                <w:sz w:val="28"/>
              </w:rPr>
              <w:br/>
              <w:t xml:space="preserve"> </w:t>
            </w:r>
          </w:p>
        </w:tc>
      </w:tr>
    </w:tbl>
    <w:p>
      <w:pPr>
        <w:sectPr>
          <w:pgSz w:w="11906" w:h="16838"/>
          <w:pgMar w:top="841" w:right="595" w:bottom="841" w:left="595" w:header="0" w:footer="0" w:gutter="0"/>
          <w:cols w:space="708"/>
          <w:docGrid w:linePitch="360"/>
          <w:titlePg/>
        </w:sectPr>
      </w:pPr>
    </w:p>
    <w:p>
      <w:pPr>
        <w:pStyle w:val="0"/>
        <w:outlineLvl w:val="0"/>
      </w:pPr>
      <w:r>
        <w:rPr>
          <w:sz w:val="24"/>
        </w:rPr>
      </w:r>
    </w:p>
    <w:p>
      <w:pPr>
        <w:pStyle w:val="2"/>
        <w:jc w:val="center"/>
        <w:outlineLvl w:val="0"/>
      </w:pPr>
      <w:r>
        <w:rPr>
          <w:sz w:val="24"/>
        </w:rPr>
        <w:t xml:space="preserve">АДМИНИСТРАЦИЯ ГОРОДА НИЖНЕВАРТОВСКА</w:t>
      </w:r>
    </w:p>
    <w:p>
      <w:pPr>
        <w:pStyle w:val="2"/>
        <w:jc w:val="center"/>
      </w:pPr>
      <w:r>
        <w:rPr>
          <w:sz w:val="24"/>
        </w:rPr>
      </w:r>
    </w:p>
    <w:p>
      <w:pPr>
        <w:pStyle w:val="2"/>
        <w:jc w:val="center"/>
      </w:pPr>
      <w:r>
        <w:rPr>
          <w:sz w:val="24"/>
        </w:rPr>
        <w:t xml:space="preserve">ПОСТАНОВЛЕНИЕ</w:t>
      </w:r>
    </w:p>
    <w:p>
      <w:pPr>
        <w:pStyle w:val="2"/>
        <w:jc w:val="center"/>
      </w:pPr>
      <w:r>
        <w:rPr>
          <w:sz w:val="24"/>
        </w:rPr>
        <w:t xml:space="preserve">от 31 июля 2025 г. N 694</w:t>
      </w:r>
    </w:p>
    <w:p>
      <w:pPr>
        <w:pStyle w:val="2"/>
        <w:jc w:val="center"/>
      </w:pPr>
      <w:r>
        <w:rPr>
          <w:sz w:val="24"/>
        </w:rPr>
      </w:r>
    </w:p>
    <w:p>
      <w:pPr>
        <w:pStyle w:val="2"/>
        <w:jc w:val="center"/>
      </w:pPr>
      <w:r>
        <w:rPr>
          <w:sz w:val="24"/>
        </w:rPr>
        <w:t xml:space="preserve">О ПРЕДОСТАВЛЕНИИ ГРАНТОВ В ФОРМЕ СУБСИДИЙ ПОБЕДИТЕЛЯМ</w:t>
      </w:r>
    </w:p>
    <w:p>
      <w:pPr>
        <w:pStyle w:val="2"/>
        <w:jc w:val="center"/>
      </w:pPr>
      <w:r>
        <w:rPr>
          <w:sz w:val="24"/>
        </w:rPr>
        <w:t xml:space="preserve">КОНКУРСА ПРОЕКТОВ (ПРОГРАММ) В СФЕРЕ ПРОФИЛАКТИКИ</w:t>
      </w:r>
    </w:p>
    <w:p>
      <w:pPr>
        <w:pStyle w:val="2"/>
        <w:jc w:val="center"/>
      </w:pPr>
      <w:r>
        <w:rPr>
          <w:sz w:val="24"/>
        </w:rPr>
        <w:t xml:space="preserve">НЕЗАКОННОГО ПОТРЕБЛЕНИЯ НАРКОТИЧЕСКИХ СРЕДСТВ, ПСИХОТРОПНЫХ</w:t>
      </w:r>
    </w:p>
    <w:p>
      <w:pPr>
        <w:pStyle w:val="2"/>
        <w:jc w:val="center"/>
      </w:pPr>
      <w:r>
        <w:rPr>
          <w:sz w:val="24"/>
        </w:rPr>
        <w:t xml:space="preserve">ВЕЩЕСТВ, АНТИНАРКОТИЧЕСКОЙ ПРОПАГАНДЫ</w:t>
      </w:r>
    </w:p>
    <w:p>
      <w:pPr>
        <w:spacing w:after="1"/>
      </w:pPr>
    </w:p>
    <w:tbl>
      <w:tblPr>
        <w:tblW w:w="5000" w:type="pct"/>
        <w:tblInd w:w="0" w:type="dxa"/>
        <w:tblBorders>
          <w:top w:val="none"/>
          <w:left w:val="none"/>
          <w:bottom w:val="none"/>
          <w:right w:val="none"/>
          <w:insideH w:val="none"/>
          <w:insideV w:val="none"/>
        </w:tblBorders>
      </w:tblPr>
      <w:tblGrid>
        <w:gridCol w:w="60"/>
        <w:gridCol w:w="113"/>
        <w:gridCol w:w="9921"/>
        <w:gridCol w:w="113"/>
      </w:tblGrid>
      <w:tr>
        <w:tc>
          <w:tcPr>
            <w:tcW w:w="60" w:type="dxa"/>
            <w:tcBorders>
              <w:top w:val="none"/>
              <w:left w:val="none"/>
              <w:bottom w:val="none"/>
              <w:right w:val="none"/>
            </w:tcBorders>
            <w:shd w:val="clear" w:fill="ced3f1"/>
            <w:tcMar>
              <w:left w:w="0" w:type="dxa"/>
              <w:top w:w="0" w:type="dxa"/>
              <w:right w:w="0" w:type="dxa"/>
              <w:bottom w:w="0" w:type="dxa"/>
            </w:tcMar>
          </w:tcPr>
          <w:p/>
        </w:tc>
        <w:tc>
          <w:tcPr>
            <w:tcW w:w="113" w:type="dxa"/>
            <w:tcBorders>
              <w:top w:val="none"/>
              <w:left w:val="none"/>
              <w:bottom w:val="none"/>
              <w:right w:val="none"/>
            </w:tcBorders>
            <w:shd w:val="clear" w:fill="f4f3f8"/>
            <w:tcMar>
              <w:left w:w="0" w:type="dxa"/>
              <w:top w:w="0" w:type="dxa"/>
              <w:right w:w="0" w:type="dxa"/>
              <w:bottom w:w="0" w:type="dxa"/>
            </w:tcMar>
          </w:tcPr>
          <w:p/>
        </w:tc>
        <w:tc>
          <w:tcPr>
            <w:tcW w:w="0" w:type="auto"/>
            <w:tcBorders>
              <w:top w:val="none"/>
              <w:left w:val="none"/>
              <w:bottom w:val="none"/>
              <w:right w:val="none"/>
            </w:tcBorders>
            <w:shd w:val="clear" w:fill="f4f3f8"/>
            <w:tcMar>
              <w:left w:w="0" w:type="dxa"/>
              <w:top w:w="113" w:type="dxa"/>
              <w:right w:w="0" w:type="dxa"/>
              <w:bottom w:w="113" w:type="dxa"/>
            </w:tcMar>
          </w:tcPr>
          <w:p>
            <w:pPr>
              <w:pStyle w:val="0"/>
              <w:jc w:val="center"/>
            </w:pPr>
            <w:r>
              <w:rPr>
                <w:color w:val="392c69"/>
                <w:sz w:val="24"/>
              </w:rPr>
              <w:t xml:space="preserve">Список изменяющих документов</w:t>
            </w:r>
          </w:p>
          <w:p>
            <w:pPr>
              <w:pStyle w:val="0"/>
              <w:jc w:val="center"/>
            </w:pPr>
            <w:r>
              <w:rPr>
                <w:color w:val="392c69"/>
                <w:sz w:val="24"/>
              </w:rPr>
              <w:t xml:space="preserve">(в ред. </w:t>
            </w:r>
            <w:r>
              <w:rPr>
                <w:color w:val="392c69"/>
                <w:sz w:val="24"/>
              </w:rPr>
              <w:t xml:space="preserve">постановления</w:t>
            </w:r>
            <w:r>
              <w:rPr>
                <w:color w:val="392c69"/>
                <w:sz w:val="24"/>
              </w:rPr>
              <w:t xml:space="preserve"> Администрации города Нижневартовска</w:t>
            </w:r>
          </w:p>
          <w:p>
            <w:pPr>
              <w:pStyle w:val="0"/>
              <w:jc w:val="center"/>
            </w:pPr>
            <w:r>
              <w:rPr>
                <w:color w:val="392c69"/>
                <w:sz w:val="24"/>
              </w:rPr>
              <w:t xml:space="preserve">от 17.06.2026 N 523)</w:t>
            </w:r>
          </w:p>
        </w:tc>
        <w:tc>
          <w:tcPr>
            <w:tcW w:w="113" w:type="dxa"/>
            <w:tcBorders>
              <w:top w:val="none"/>
              <w:left w:val="none"/>
              <w:bottom w:val="none"/>
              <w:right w:val="none"/>
            </w:tcBorders>
            <w:shd w:val="clear" w:fill="f4f3f8"/>
            <w:tcMar>
              <w:left w:w="0" w:type="dxa"/>
              <w:top w:w="0" w:type="dxa"/>
              <w:right w:w="0" w:type="dxa"/>
              <w:bottom w:w="0" w:type="dxa"/>
            </w:tcMar>
          </w:tcPr>
          <w:p/>
        </w:tc>
      </w:tr>
    </w:tbl>
    <w:p>
      <w:pPr>
        <w:pStyle w:val="0"/>
        <w:ind w:firstLine="540"/>
        <w:jc w:val="both"/>
      </w:pPr>
      <w:r>
        <w:rPr>
          <w:sz w:val="24"/>
        </w:rPr>
      </w:r>
    </w:p>
    <w:p>
      <w:pPr>
        <w:pStyle w:val="0"/>
        <w:ind w:firstLine="540"/>
        <w:jc w:val="both"/>
      </w:pPr>
      <w:r>
        <w:rPr>
          <w:sz w:val="24"/>
        </w:rPr>
        <w:t xml:space="preserve">В соответствии со </w:t>
      </w:r>
      <w:r>
        <w:rPr>
          <w:sz w:val="24"/>
        </w:rPr>
        <w:t xml:space="preserve">статьей 78.1</w:t>
      </w:r>
      <w:r>
        <w:rPr>
          <w:sz w:val="24"/>
        </w:rPr>
        <w:t xml:space="preserve"> Бюджетного кодекса Российской Федерации, </w:t>
      </w:r>
      <w:r>
        <w:rPr>
          <w:sz w:val="24"/>
        </w:rPr>
        <w:t xml:space="preserve">постановлением</w:t>
      </w:r>
      <w:r>
        <w:rPr>
          <w:sz w:val="24"/>
        </w:rPr>
        <w:t xml:space="preserve"> администрации города от 22.08.2024 N 707 "Об утверждении муниципальной программы "Профилактика правонарушений и терроризма в городе Нижневартовске":</w:t>
      </w:r>
    </w:p>
    <w:p>
      <w:pPr>
        <w:pStyle w:val="0"/>
        <w:spacing w:before="240"/>
        <w:ind w:firstLine="540"/>
        <w:jc w:val="both"/>
      </w:pPr>
      <w:r>
        <w:rPr>
          <w:sz w:val="24"/>
        </w:rPr>
        <w:t xml:space="preserve">1. Утвердить:</w:t>
      </w:r>
    </w:p>
    <w:p>
      <w:pPr>
        <w:pStyle w:val="0"/>
        <w:spacing w:before="240"/>
        <w:ind w:firstLine="540"/>
        <w:jc w:val="both"/>
      </w:pPr>
      <w:r>
        <w:rPr>
          <w:sz w:val="24"/>
        </w:rPr>
        <w:t xml:space="preserve">- </w:t>
      </w:r>
      <w:hyperlink w:tooltip="ПОРЯДОК" w:anchor="P34" w:history="0">
        <w:r>
          <w:rPr>
            <w:color w:val="0000ff"/>
            <w:sz w:val="24"/>
          </w:rPr>
          <w:t xml:space="preserve">Порядок</w:t>
        </w:r>
      </w:hyperlink>
      <w:r>
        <w:rPr>
          <w:sz w:val="24"/>
        </w:rPr>
        <w:t xml:space="preserve"> предоставления грантов в форме субсидий победителям конкурса проектов (программ) в сфере профилактики незаконного потребления наркотических средств, психотропных веществ, антинаркотической пропаганды (далее - конкурс) согласно приложению 1;</w:t>
      </w:r>
    </w:p>
    <w:p>
      <w:pPr>
        <w:pStyle w:val="0"/>
        <w:spacing w:before="240"/>
        <w:ind w:firstLine="540"/>
        <w:jc w:val="both"/>
      </w:pPr>
      <w:r>
        <w:rPr>
          <w:sz w:val="24"/>
        </w:rPr>
        <w:t xml:space="preserve">- </w:t>
      </w:r>
      <w:hyperlink w:tooltip="СОСТАВ" w:anchor="P713" w:history="0">
        <w:r>
          <w:rPr>
            <w:color w:val="0000ff"/>
            <w:sz w:val="24"/>
          </w:rPr>
          <w:t xml:space="preserve">состав</w:t>
        </w:r>
      </w:hyperlink>
      <w:r>
        <w:rPr>
          <w:sz w:val="24"/>
        </w:rPr>
        <w:t xml:space="preserve"> комиссии по проведению конкурса согласно приложению 2.</w:t>
      </w:r>
    </w:p>
    <w:p>
      <w:pPr>
        <w:pStyle w:val="0"/>
        <w:spacing w:before="240"/>
        <w:ind w:firstLine="540"/>
        <w:jc w:val="both"/>
      </w:pPr>
      <w:r>
        <w:rPr>
          <w:sz w:val="24"/>
        </w:rPr>
        <w:t xml:space="preserve">2. Департаменту общественных коммуникаций и молодежной политики администрации города (В.А. Мыльников) обеспечить официальное опубликование постановления.</w:t>
      </w:r>
    </w:p>
    <w:p>
      <w:pPr>
        <w:pStyle w:val="0"/>
        <w:spacing w:before="240"/>
        <w:ind w:firstLine="540"/>
        <w:jc w:val="both"/>
      </w:pPr>
      <w:r>
        <w:rPr>
          <w:sz w:val="24"/>
        </w:rPr>
        <w:t xml:space="preserve">3. Постановление вступает в силу после его официального опубликования.</w:t>
      </w:r>
    </w:p>
    <w:p>
      <w:pPr>
        <w:pStyle w:val="0"/>
        <w:spacing w:before="240"/>
        <w:ind w:firstLine="540"/>
        <w:jc w:val="both"/>
      </w:pPr>
      <w:r>
        <w:rPr>
          <w:sz w:val="24"/>
        </w:rPr>
        <w:t xml:space="preserve">4. Контроль за выполнением постановления возложить на заместителя главы города С.И. Ефремова.</w:t>
      </w:r>
    </w:p>
    <w:p>
      <w:pPr>
        <w:pStyle w:val="0"/>
        <w:ind w:firstLine="540"/>
        <w:jc w:val="both"/>
      </w:pPr>
      <w:r>
        <w:rPr>
          <w:sz w:val="24"/>
        </w:rPr>
      </w:r>
    </w:p>
    <w:p>
      <w:pPr>
        <w:pStyle w:val="0"/>
        <w:jc w:val="right"/>
      </w:pPr>
      <w:r>
        <w:rPr>
          <w:sz w:val="24"/>
        </w:rPr>
        <w:t xml:space="preserve">Глава города</w:t>
      </w:r>
    </w:p>
    <w:p>
      <w:pPr>
        <w:pStyle w:val="0"/>
        <w:jc w:val="right"/>
      </w:pPr>
      <w:r>
        <w:rPr>
          <w:sz w:val="24"/>
        </w:rPr>
        <w:t xml:space="preserve">Д.А.КОЩЕНКО</w:t>
      </w:r>
    </w:p>
    <w:p>
      <w:pPr>
        <w:pStyle w:val="0"/>
      </w:pPr>
      <w:r>
        <w:rPr>
          <w:sz w:val="24"/>
        </w:rPr>
      </w:r>
    </w:p>
    <w:p>
      <w:pPr>
        <w:pStyle w:val="0"/>
      </w:pPr>
      <w:r>
        <w:rPr>
          <w:sz w:val="24"/>
        </w:rPr>
      </w:r>
    </w:p>
    <w:p>
      <w:pPr>
        <w:pStyle w:val="0"/>
      </w:pPr>
      <w:r>
        <w:rPr>
          <w:sz w:val="24"/>
        </w:rPr>
      </w:r>
    </w:p>
    <w:p>
      <w:pPr>
        <w:pStyle w:val="0"/>
      </w:pPr>
      <w:r>
        <w:rPr>
          <w:sz w:val="24"/>
        </w:rPr>
      </w:r>
    </w:p>
    <w:p>
      <w:pPr>
        <w:pStyle w:val="0"/>
      </w:pPr>
      <w:r>
        <w:rPr>
          <w:sz w:val="24"/>
        </w:rPr>
      </w:r>
    </w:p>
    <w:p>
      <w:pPr>
        <w:pStyle w:val="0"/>
        <w:jc w:val="right"/>
        <w:outlineLvl w:val="0"/>
      </w:pPr>
      <w:r>
        <w:rPr>
          <w:sz w:val="24"/>
        </w:rPr>
        <w:t xml:space="preserve">Приложение 1</w:t>
      </w:r>
    </w:p>
    <w:p>
      <w:pPr>
        <w:pStyle w:val="0"/>
        <w:jc w:val="right"/>
      </w:pPr>
      <w:r>
        <w:rPr>
          <w:sz w:val="24"/>
        </w:rPr>
        <w:t xml:space="preserve">к постановлению</w:t>
      </w:r>
    </w:p>
    <w:p>
      <w:pPr>
        <w:pStyle w:val="0"/>
        <w:jc w:val="right"/>
      </w:pPr>
      <w:r>
        <w:rPr>
          <w:sz w:val="24"/>
        </w:rPr>
        <w:t xml:space="preserve">администрации города</w:t>
      </w:r>
    </w:p>
    <w:p>
      <w:pPr>
        <w:pStyle w:val="0"/>
        <w:jc w:val="right"/>
      </w:pPr>
      <w:r>
        <w:rPr>
          <w:sz w:val="24"/>
        </w:rPr>
        <w:t xml:space="preserve">от 31.07.2025 N 694</w:t>
      </w:r>
    </w:p>
    <w:p>
      <w:pPr>
        <w:pStyle w:val="0"/>
      </w:pPr>
      <w:r>
        <w:rPr>
          <w:sz w:val="24"/>
        </w:rPr>
      </w:r>
    </w:p>
    <w:bookmarkStart w:id="34" w:name="P34"/>
    <w:bookmarkEnd w:id="34"/>
    <w:p>
      <w:pPr>
        <w:pStyle w:val="2"/>
        <w:jc w:val="center"/>
      </w:pPr>
      <w:r>
        <w:rPr>
          <w:sz w:val="24"/>
        </w:rPr>
        <w:t xml:space="preserve">ПОРЯДОК</w:t>
      </w:r>
    </w:p>
    <w:p>
      <w:pPr>
        <w:pStyle w:val="2"/>
        <w:jc w:val="center"/>
      </w:pPr>
      <w:r>
        <w:rPr>
          <w:sz w:val="24"/>
        </w:rPr>
        <w:t xml:space="preserve">ПРЕДОСТАВЛЕНИЯ ГРАНТОВ В ФОРМЕ СУБСИДИЙ ПОБЕДИТЕЛЯМ КОНКУРСА</w:t>
      </w:r>
    </w:p>
    <w:p>
      <w:pPr>
        <w:pStyle w:val="2"/>
        <w:jc w:val="center"/>
      </w:pPr>
      <w:r>
        <w:rPr>
          <w:sz w:val="24"/>
        </w:rPr>
        <w:t xml:space="preserve">ПРОЕКТОВ (ПРОГРАММ) В СФЕРЕ ПРОФИЛАКТИКИ НЕЗАКОННОГО</w:t>
      </w:r>
    </w:p>
    <w:p>
      <w:pPr>
        <w:pStyle w:val="2"/>
        <w:jc w:val="center"/>
      </w:pPr>
      <w:r>
        <w:rPr>
          <w:sz w:val="24"/>
        </w:rPr>
        <w:t xml:space="preserve">ПОТРЕБЛЕНИЯ НАРКОТИЧЕСКИХ СРЕДСТВ, ПСИХОТРОПНЫХ ВЕЩЕСТВ,</w:t>
      </w:r>
    </w:p>
    <w:p>
      <w:pPr>
        <w:pStyle w:val="2"/>
        <w:jc w:val="center"/>
      </w:pPr>
      <w:r>
        <w:rPr>
          <w:sz w:val="24"/>
        </w:rPr>
        <w:t xml:space="preserve">АНТИНАРКОТИЧЕСКОЙ ПРОПАГАНДЫ</w:t>
      </w:r>
    </w:p>
    <w:p>
      <w:pPr>
        <w:spacing w:after="1"/>
      </w:pPr>
    </w:p>
    <w:tbl>
      <w:tblPr>
        <w:tblW w:w="5000" w:type="pct"/>
        <w:tblInd w:w="0" w:type="dxa"/>
        <w:tblBorders>
          <w:top w:val="none"/>
          <w:left w:val="none"/>
          <w:bottom w:val="none"/>
          <w:right w:val="none"/>
          <w:insideH w:val="none"/>
          <w:insideV w:val="none"/>
        </w:tblBorders>
      </w:tblPr>
      <w:tblGrid>
        <w:gridCol w:w="60"/>
        <w:gridCol w:w="113"/>
        <w:gridCol w:w="9921"/>
        <w:gridCol w:w="113"/>
      </w:tblGrid>
      <w:tr>
        <w:tc>
          <w:tcPr>
            <w:tcW w:w="60" w:type="dxa"/>
            <w:tcBorders>
              <w:top w:val="none"/>
              <w:left w:val="none"/>
              <w:bottom w:val="none"/>
              <w:right w:val="none"/>
            </w:tcBorders>
            <w:shd w:val="clear" w:fill="ced3f1"/>
            <w:tcMar>
              <w:left w:w="0" w:type="dxa"/>
              <w:top w:w="0" w:type="dxa"/>
              <w:right w:w="0" w:type="dxa"/>
              <w:bottom w:w="0" w:type="dxa"/>
            </w:tcMar>
          </w:tcPr>
          <w:p/>
        </w:tc>
        <w:tc>
          <w:tcPr>
            <w:tcW w:w="113" w:type="dxa"/>
            <w:tcBorders>
              <w:top w:val="none"/>
              <w:left w:val="none"/>
              <w:bottom w:val="none"/>
              <w:right w:val="none"/>
            </w:tcBorders>
            <w:shd w:val="clear" w:fill="f4f3f8"/>
            <w:tcMar>
              <w:left w:w="0" w:type="dxa"/>
              <w:top w:w="0" w:type="dxa"/>
              <w:right w:w="0" w:type="dxa"/>
              <w:bottom w:w="0" w:type="dxa"/>
            </w:tcMar>
          </w:tcPr>
          <w:p/>
        </w:tc>
        <w:tc>
          <w:tcPr>
            <w:tcW w:w="0" w:type="auto"/>
            <w:tcBorders>
              <w:top w:val="none"/>
              <w:left w:val="none"/>
              <w:bottom w:val="none"/>
              <w:right w:val="none"/>
            </w:tcBorders>
            <w:shd w:val="clear" w:fill="f4f3f8"/>
            <w:tcMar>
              <w:left w:w="0" w:type="dxa"/>
              <w:top w:w="113" w:type="dxa"/>
              <w:right w:w="0" w:type="dxa"/>
              <w:bottom w:w="113" w:type="dxa"/>
            </w:tcMar>
          </w:tcPr>
          <w:p>
            <w:pPr>
              <w:pStyle w:val="0"/>
              <w:jc w:val="center"/>
            </w:pPr>
            <w:r>
              <w:rPr>
                <w:color w:val="392c69"/>
                <w:sz w:val="24"/>
              </w:rPr>
              <w:t xml:space="preserve">Список изменяющих документов</w:t>
            </w:r>
          </w:p>
          <w:p>
            <w:pPr>
              <w:pStyle w:val="0"/>
              <w:jc w:val="center"/>
            </w:pPr>
            <w:r>
              <w:rPr>
                <w:color w:val="392c69"/>
                <w:sz w:val="24"/>
              </w:rPr>
              <w:t xml:space="preserve">(в ред. </w:t>
            </w:r>
            <w:r>
              <w:rPr>
                <w:color w:val="392c69"/>
                <w:sz w:val="24"/>
              </w:rPr>
              <w:t xml:space="preserve">постановления</w:t>
            </w:r>
            <w:r>
              <w:rPr>
                <w:color w:val="392c69"/>
                <w:sz w:val="24"/>
              </w:rPr>
              <w:t xml:space="preserve"> Администрации города Нижневартовска</w:t>
            </w:r>
          </w:p>
          <w:p>
            <w:pPr>
              <w:pStyle w:val="0"/>
              <w:jc w:val="center"/>
            </w:pPr>
            <w:r>
              <w:rPr>
                <w:color w:val="392c69"/>
                <w:sz w:val="24"/>
              </w:rPr>
              <w:t xml:space="preserve">от 17.06.2026 N 523)</w:t>
            </w:r>
          </w:p>
        </w:tc>
        <w:tc>
          <w:tcPr>
            <w:tcW w:w="113" w:type="dxa"/>
            <w:tcBorders>
              <w:top w:val="none"/>
              <w:left w:val="none"/>
              <w:bottom w:val="none"/>
              <w:right w:val="none"/>
            </w:tcBorders>
            <w:shd w:val="clear" w:fill="f4f3f8"/>
            <w:tcMar>
              <w:left w:w="0" w:type="dxa"/>
              <w:top w:w="0" w:type="dxa"/>
              <w:right w:w="0" w:type="dxa"/>
              <w:bottom w:w="0" w:type="dxa"/>
            </w:tcMar>
          </w:tcPr>
          <w:p/>
        </w:tc>
      </w:tr>
    </w:tbl>
    <w:p>
      <w:pPr>
        <w:pStyle w:val="0"/>
      </w:pPr>
      <w:r>
        <w:rPr>
          <w:sz w:val="24"/>
        </w:rPr>
      </w:r>
    </w:p>
    <w:p>
      <w:pPr>
        <w:pStyle w:val="2"/>
        <w:jc w:val="center"/>
        <w:outlineLvl w:val="1"/>
      </w:pPr>
      <w:r>
        <w:rPr>
          <w:sz w:val="24"/>
        </w:rPr>
        <w:t xml:space="preserve">I. Общие положения</w:t>
      </w:r>
    </w:p>
    <w:p>
      <w:pPr>
        <w:pStyle w:val="0"/>
        <w:jc w:val="center"/>
      </w:pPr>
      <w:r>
        <w:rPr>
          <w:sz w:val="24"/>
        </w:rPr>
      </w:r>
    </w:p>
    <w:p>
      <w:pPr>
        <w:pStyle w:val="0"/>
        <w:ind w:firstLine="540"/>
        <w:jc w:val="both"/>
      </w:pPr>
      <w:r>
        <w:rPr>
          <w:sz w:val="24"/>
        </w:rPr>
        <w:t xml:space="preserve">1.1. Порядок предоставления грантов в форме субсидий победителям конкурса проектов (программ) в сфере профилактики незаконного потребления наркотических средств, психотропных веществ, антинаркотической пропаганды (далее - Порядок) устанавливает цели, условия и порядок предоставления грантов в форме субсидий (далее - гранты) муниципальным бюджетным и автономным учреждениям города Нижневартовска.</w:t>
      </w:r>
    </w:p>
    <w:bookmarkStart w:id="46" w:name="P46"/>
    <w:bookmarkEnd w:id="46"/>
    <w:p>
      <w:pPr>
        <w:pStyle w:val="0"/>
        <w:spacing w:before="240"/>
        <w:ind w:firstLine="540"/>
        <w:jc w:val="both"/>
      </w:pPr>
      <w:r>
        <w:rPr>
          <w:sz w:val="24"/>
        </w:rPr>
        <w:t xml:space="preserve">1.2. Гранты предоставляются в рамках реализации муниципальной </w:t>
      </w:r>
      <w:r>
        <w:rPr>
          <w:sz w:val="24"/>
        </w:rPr>
        <w:t xml:space="preserve">программы</w:t>
      </w:r>
      <w:r>
        <w:rPr>
          <w:sz w:val="24"/>
        </w:rPr>
        <w:t xml:space="preserve"> "Профилактика правонарушений и терроризма в городе Нижневартовске", утвержденной постановлением администрации города от 22.08.2024 N 707 (далее - муниципальная программа), в целях финансового обеспечения затрат получателей грантов на реализацию проектов (программ) в сфере профилактики незаконного потребления наркотических средств, психотропных веществ, антинаркотической пропаганды (далее - проекты (программы)).</w:t>
      </w:r>
    </w:p>
    <w:p>
      <w:pPr>
        <w:pStyle w:val="0"/>
        <w:spacing w:before="240"/>
        <w:ind w:firstLine="540"/>
        <w:jc w:val="both"/>
      </w:pPr>
      <w:r>
        <w:rPr>
          <w:sz w:val="24"/>
        </w:rPr>
        <w:t xml:space="preserve">1.3. Понятия, используемые в Порядке:</w:t>
      </w:r>
    </w:p>
    <w:p>
      <w:pPr>
        <w:pStyle w:val="0"/>
        <w:spacing w:before="240"/>
        <w:ind w:firstLine="540"/>
        <w:jc w:val="both"/>
      </w:pPr>
      <w:r>
        <w:rPr>
          <w:sz w:val="24"/>
        </w:rPr>
        <w:t xml:space="preserve">1) грант - денежные средства в форме субсидии, предоставляемые на безвозмездной и безвозвратной основе на финансовое обеспечение затрат на реализацию проекта (программы);</w:t>
      </w:r>
    </w:p>
    <w:p>
      <w:pPr>
        <w:pStyle w:val="0"/>
        <w:spacing w:before="240"/>
        <w:ind w:firstLine="540"/>
        <w:jc w:val="both"/>
      </w:pPr>
      <w:r>
        <w:rPr>
          <w:sz w:val="24"/>
        </w:rPr>
        <w:t xml:space="preserve">2) получатель гранта - победитель конкурса проектов (программ) в сфере профилактики незаконного потребления наркотических средств, психотропных веществ, антинаркотической пропаганды (далее - конкурс);</w:t>
      </w:r>
    </w:p>
    <w:p>
      <w:pPr>
        <w:pStyle w:val="0"/>
        <w:spacing w:before="240"/>
        <w:ind w:firstLine="540"/>
        <w:jc w:val="both"/>
      </w:pPr>
      <w:r>
        <w:rPr>
          <w:sz w:val="24"/>
        </w:rPr>
        <w:t xml:space="preserve">3) проект (программа) - комплекс взаимосвязанных мероприятий, направленных на профилактику незаконного потребления наркотических средств, психотропных веществ, антинаркотическую пропаганду;</w:t>
      </w:r>
    </w:p>
    <w:p>
      <w:pPr>
        <w:pStyle w:val="0"/>
        <w:spacing w:before="240"/>
        <w:ind w:firstLine="540"/>
        <w:jc w:val="both"/>
      </w:pPr>
      <w:r>
        <w:rPr>
          <w:sz w:val="24"/>
        </w:rPr>
        <w:t xml:space="preserve">4) Уполномоченный орган - управление по вопросам законности, правопорядка и безопасности администрации города.</w:t>
      </w:r>
    </w:p>
    <w:p>
      <w:pPr>
        <w:pStyle w:val="0"/>
        <w:spacing w:before="240"/>
        <w:ind w:firstLine="540"/>
        <w:jc w:val="both"/>
      </w:pPr>
      <w:r>
        <w:rPr>
          <w:sz w:val="24"/>
        </w:rPr>
        <w:t xml:space="preserve">1.4. Предоставление грантов производится за счет средств бюджета муниципального образования город Нижневартовск (далее - бюджет города) в пределах лимитов бюджетных обязательств, предусмотренных на мероприятие "Проведение конкурса проектов (программ) в сфере профилактики незаконного потребления наркотических средств, психотропных веществ, антинаркотической пропаганды" в рамках задачи "Реализация профилактического комплекса мер в антинаркотической деятельности" комплекса процессных мероприятий "Профилактика незаконного потребления наркотических средств, психотропных веществ" муниципальной программы на текущий финансовый год (далее - лимиты бюджетных обязательств).</w:t>
      </w:r>
    </w:p>
    <w:p>
      <w:pPr>
        <w:pStyle w:val="0"/>
        <w:spacing w:before="240"/>
        <w:ind w:firstLine="540"/>
        <w:jc w:val="both"/>
      </w:pPr>
      <w:r>
        <w:rPr>
          <w:sz w:val="24"/>
        </w:rPr>
        <w:t xml:space="preserve">Главным распорядителем бюджетных средств, до которого в соответствии с бюджетным законодательством Российской Федерации как до получателя бюджетных средств доведены в установленном порядке лимиты бюджетных обязательств, является администрация города (далее - главный распорядитель бюджетных средств).</w:t>
      </w:r>
    </w:p>
    <w:p>
      <w:pPr>
        <w:pStyle w:val="0"/>
        <w:spacing w:before="240"/>
        <w:ind w:firstLine="540"/>
        <w:jc w:val="both"/>
      </w:pPr>
      <w:r>
        <w:rPr>
          <w:sz w:val="24"/>
        </w:rPr>
        <w:t xml:space="preserve">1.5. Гранты предоставляются на основании решения, принятого комиссией по проведению конкурса (далее - конкурсная комиссия), оформленного протоколом подведения итогов конкурса, который размещается на едином портале бюджетной системы Российской Федерации (далее - единый портал) в информационно-телекоммуникационной сети "Интернет" (далее - сеть "Интернет").</w:t>
      </w:r>
    </w:p>
    <w:p>
      <w:pPr>
        <w:pStyle w:val="0"/>
        <w:spacing w:before="240"/>
        <w:ind w:firstLine="540"/>
        <w:jc w:val="both"/>
      </w:pPr>
      <w:r>
        <w:rPr>
          <w:sz w:val="24"/>
        </w:rPr>
        <w:t xml:space="preserve">1.6. Информация о грантах размещается на едином портале в порядке, установленном Министерством финансов Российской Федерации, в течение 10 рабочих дней со дня, следующего за днем доведения бюджетных ассигнований на предоставление грантов до главного распорядителя бюджетных средств.</w:t>
      </w:r>
    </w:p>
    <w:p>
      <w:pPr>
        <w:pStyle w:val="0"/>
        <w:jc w:val="both"/>
      </w:pPr>
      <w:r>
        <w:rPr>
          <w:sz w:val="24"/>
        </w:rPr>
        <w:t xml:space="preserve">(п. 1.6 в ред. </w:t>
      </w:r>
      <w:r>
        <w:rPr>
          <w:sz w:val="24"/>
        </w:rPr>
        <w:t xml:space="preserve">постановления</w:t>
      </w:r>
      <w:r>
        <w:rPr>
          <w:sz w:val="24"/>
        </w:rPr>
        <w:t xml:space="preserve"> Администрации города Нижневартовска от 17.06.2026 N 523)</w:t>
      </w:r>
    </w:p>
    <w:p>
      <w:pPr>
        <w:pStyle w:val="0"/>
        <w:spacing w:before="240"/>
        <w:ind w:firstLine="540"/>
        <w:jc w:val="both"/>
      </w:pPr>
      <w:r>
        <w:rPr>
          <w:sz w:val="24"/>
        </w:rPr>
        <w:t xml:space="preserve">1.7. Отбор получателей грантов осуществляется Уполномоченным органом посредством проведения конкурса с использованием государственной интегрированной информационной системы управления общественными финансами "Электронный бюджет" (далее - система "Электронный бюджет").</w:t>
      </w:r>
    </w:p>
    <w:bookmarkStart w:id="58" w:name="P58"/>
    <w:bookmarkEnd w:id="58"/>
    <w:p>
      <w:pPr>
        <w:pStyle w:val="0"/>
        <w:spacing w:before="240"/>
        <w:ind w:firstLine="540"/>
        <w:jc w:val="both"/>
      </w:pPr>
      <w:r>
        <w:rPr>
          <w:sz w:val="24"/>
        </w:rPr>
        <w:t xml:space="preserve">1.8. Категории участников конкурса: муниципальные бюджетные и автономные учреждения города Нижневартовска (далее - Учреждения).</w:t>
      </w:r>
    </w:p>
    <w:p>
      <w:pPr>
        <w:pStyle w:val="0"/>
        <w:jc w:val="center"/>
      </w:pPr>
      <w:r>
        <w:rPr>
          <w:sz w:val="24"/>
        </w:rPr>
      </w:r>
    </w:p>
    <w:p>
      <w:pPr>
        <w:pStyle w:val="2"/>
        <w:jc w:val="center"/>
        <w:outlineLvl w:val="1"/>
      </w:pPr>
      <w:r>
        <w:rPr>
          <w:sz w:val="24"/>
        </w:rPr>
        <w:t xml:space="preserve">II. Порядок проведения конкурса</w:t>
      </w:r>
    </w:p>
    <w:p>
      <w:pPr>
        <w:pStyle w:val="0"/>
        <w:jc w:val="center"/>
      </w:pPr>
      <w:r>
        <w:rPr>
          <w:sz w:val="24"/>
        </w:rPr>
      </w:r>
    </w:p>
    <w:p>
      <w:pPr>
        <w:pStyle w:val="0"/>
        <w:ind w:firstLine="540"/>
        <w:jc w:val="both"/>
      </w:pPr>
      <w:r>
        <w:rPr>
          <w:sz w:val="24"/>
        </w:rPr>
        <w:t xml:space="preserve">2.1. В целях проведения конкурса Уполномоченный орган не менее чем за 30 календарных дней до даты окончания приема заявок на участие в конкурсе (далее - заявки) размещает на едином портале и на официальном сайте органов местного самоуправления города Нижневартовска (далее - официальный сайт) объявление о проведении конкурса, которое содержит следующую информацию:</w:t>
      </w:r>
    </w:p>
    <w:p>
      <w:pPr>
        <w:pStyle w:val="0"/>
        <w:spacing w:before="240"/>
        <w:ind w:firstLine="540"/>
        <w:jc w:val="both"/>
      </w:pPr>
      <w:r>
        <w:rPr>
          <w:sz w:val="24"/>
        </w:rPr>
        <w:t xml:space="preserve">- срок проведения конкурса;</w:t>
      </w:r>
    </w:p>
    <w:p>
      <w:pPr>
        <w:pStyle w:val="0"/>
        <w:spacing w:before="240"/>
        <w:ind w:firstLine="540"/>
        <w:jc w:val="both"/>
      </w:pPr>
      <w:r>
        <w:rPr>
          <w:sz w:val="24"/>
        </w:rPr>
        <w:t xml:space="preserve">- дата и время начала (окончания) подачи (приема) заявок;</w:t>
      </w:r>
    </w:p>
    <w:p>
      <w:pPr>
        <w:pStyle w:val="0"/>
        <w:spacing w:before="240"/>
        <w:ind w:firstLine="540"/>
        <w:jc w:val="both"/>
      </w:pPr>
      <w:r>
        <w:rPr>
          <w:sz w:val="24"/>
        </w:rPr>
        <w:t xml:space="preserve">- наименование, место нахождения, почтовый адрес и адрес электронной почты, номер контактного телефона главного распорядителя бюджетных средств в лице Уполномоченного органа;</w:t>
      </w:r>
    </w:p>
    <w:p>
      <w:pPr>
        <w:pStyle w:val="0"/>
        <w:spacing w:before="240"/>
        <w:ind w:firstLine="540"/>
        <w:jc w:val="both"/>
      </w:pPr>
      <w:r>
        <w:rPr>
          <w:sz w:val="24"/>
        </w:rPr>
        <w:t xml:space="preserve">- результат предоставления гранта;</w:t>
      </w:r>
    </w:p>
    <w:p>
      <w:pPr>
        <w:pStyle w:val="0"/>
        <w:spacing w:before="240"/>
        <w:ind w:firstLine="540"/>
        <w:jc w:val="both"/>
      </w:pPr>
      <w:r>
        <w:rPr>
          <w:sz w:val="24"/>
        </w:rPr>
        <w:t xml:space="preserve">- доменное имя и (или) указатели страниц государственной информационной системы в сети "Интернет";</w:t>
      </w:r>
    </w:p>
    <w:p>
      <w:pPr>
        <w:pStyle w:val="0"/>
        <w:spacing w:before="240"/>
        <w:ind w:firstLine="540"/>
        <w:jc w:val="both"/>
      </w:pPr>
      <w:r>
        <w:rPr>
          <w:sz w:val="24"/>
        </w:rPr>
        <w:t xml:space="preserve">- требования к участникам конкурса в соответствии с </w:t>
      </w:r>
      <w:hyperlink w:tooltip="2.2. Участник конкурса на даты рассмотрения заявки и заключения Соглашения должен соответствовать следующим требованиям:" w:anchor="P86" w:history="0">
        <w:r>
          <w:rPr>
            <w:color w:val="0000ff"/>
            <w:sz w:val="24"/>
          </w:rPr>
          <w:t xml:space="preserve">пунктом 2.2</w:t>
        </w:r>
      </w:hyperlink>
      <w:r>
        <w:rPr>
          <w:sz w:val="24"/>
        </w:rPr>
        <w:t xml:space="preserve"> Порядка и к перечню документов, представляемых ими для подтверждения соответствия указанным требованиям;</w:t>
      </w:r>
    </w:p>
    <w:p>
      <w:pPr>
        <w:pStyle w:val="0"/>
        <w:spacing w:before="240"/>
        <w:ind w:firstLine="540"/>
        <w:jc w:val="both"/>
      </w:pPr>
      <w:r>
        <w:rPr>
          <w:sz w:val="24"/>
        </w:rPr>
        <w:t xml:space="preserve">- порядок подачи заявок и требования, предъявляемые к их форме и содержанию в соответствии с </w:t>
      </w:r>
      <w:hyperlink w:tooltip="2.3. Участник конкурса в сроки, установленные в объявлении о проведении конкурса, представляет в систему &quot;Электронный бюджет&quot; посредством заполнения соответствующих экранных форм веб-интерфейса системы &quot;Электронный бюджет&quot; заявку, содержащую информацию об участнике конкурса, о размере запрашиваемого гранта, с электронными копиями документов (документов на бумажном носителе, преобразованных в электронную форму путем сканирования), указанных в пункте 2.4 Порядка." w:anchor="P97" w:history="0">
        <w:r>
          <w:rPr>
            <w:color w:val="0000ff"/>
            <w:sz w:val="24"/>
          </w:rPr>
          <w:t xml:space="preserve">пунктом 2.3</w:t>
        </w:r>
      </w:hyperlink>
      <w:r>
        <w:rPr>
          <w:sz w:val="24"/>
        </w:rPr>
        <w:t xml:space="preserve"> Порядка;</w:t>
      </w:r>
    </w:p>
    <w:p>
      <w:pPr>
        <w:pStyle w:val="0"/>
        <w:spacing w:before="240"/>
        <w:ind w:firstLine="540"/>
        <w:jc w:val="both"/>
      </w:pPr>
      <w:r>
        <w:rPr>
          <w:sz w:val="24"/>
        </w:rPr>
        <w:t xml:space="preserve">- порядок отзыва заявок участниками конкурса, их возврата, в том числе основания для такого возврата, порядок внесения изменений в заявки участниками конкурса;</w:t>
      </w:r>
    </w:p>
    <w:p>
      <w:pPr>
        <w:pStyle w:val="0"/>
        <w:spacing w:before="240"/>
        <w:ind w:firstLine="540"/>
        <w:jc w:val="both"/>
      </w:pPr>
      <w:r>
        <w:rPr>
          <w:sz w:val="24"/>
        </w:rPr>
        <w:t xml:space="preserve">- правила рассмотрения и оценки заявок;</w:t>
      </w:r>
    </w:p>
    <w:p>
      <w:pPr>
        <w:pStyle w:val="0"/>
        <w:spacing w:before="240"/>
        <w:ind w:firstLine="540"/>
        <w:jc w:val="both"/>
      </w:pPr>
      <w:r>
        <w:rPr>
          <w:sz w:val="24"/>
        </w:rPr>
        <w:t xml:space="preserve">- порядок предоставления участникам конкурса разъяснений положений объявления о проведении конкурса, даты начала и окончания срока такого предоставления;</w:t>
      </w:r>
    </w:p>
    <w:p>
      <w:pPr>
        <w:pStyle w:val="0"/>
        <w:spacing w:before="240"/>
        <w:ind w:firstLine="540"/>
        <w:jc w:val="both"/>
      </w:pPr>
      <w:r>
        <w:rPr>
          <w:sz w:val="24"/>
        </w:rPr>
        <w:t xml:space="preserve">- срок, в течение которого победитель конкурса должен подписать соглашение о предоставлении гранта (далее - Соглашение);</w:t>
      </w:r>
    </w:p>
    <w:p>
      <w:pPr>
        <w:pStyle w:val="0"/>
        <w:spacing w:before="240"/>
        <w:ind w:firstLine="540"/>
        <w:jc w:val="both"/>
      </w:pPr>
      <w:r>
        <w:rPr>
          <w:sz w:val="24"/>
        </w:rPr>
        <w:t xml:space="preserve">- условия признания победителя конкурса уклонившимся от заключения Соглашения;</w:t>
      </w:r>
    </w:p>
    <w:p>
      <w:pPr>
        <w:pStyle w:val="0"/>
        <w:spacing w:before="240"/>
        <w:ind w:firstLine="540"/>
        <w:jc w:val="both"/>
      </w:pPr>
      <w:r>
        <w:rPr>
          <w:sz w:val="24"/>
        </w:rPr>
        <w:t xml:space="preserve">- сроки размещения протокола подведения итогов конкурса на едином портале и официальном сайте;</w:t>
      </w:r>
    </w:p>
    <w:p>
      <w:pPr>
        <w:pStyle w:val="0"/>
        <w:spacing w:before="240"/>
        <w:ind w:firstLine="540"/>
        <w:jc w:val="both"/>
      </w:pPr>
      <w:r>
        <w:rPr>
          <w:sz w:val="24"/>
        </w:rPr>
        <w:t xml:space="preserve">- категории участников конкурса, указанные в </w:t>
      </w:r>
      <w:hyperlink w:tooltip="1.8. Категории участников конкурса: муниципальные бюджетные и автономные учреждения города Нижневартовска (далее - Учреждения)." w:anchor="P58" w:history="0">
        <w:r>
          <w:rPr>
            <w:color w:val="0000ff"/>
            <w:sz w:val="24"/>
          </w:rPr>
          <w:t xml:space="preserve">пункте 1.8</w:t>
        </w:r>
      </w:hyperlink>
      <w:r>
        <w:rPr>
          <w:sz w:val="24"/>
        </w:rPr>
        <w:t xml:space="preserve"> Порядка;</w:t>
      </w:r>
    </w:p>
    <w:p>
      <w:pPr>
        <w:pStyle w:val="0"/>
        <w:spacing w:before="240"/>
        <w:ind w:firstLine="540"/>
        <w:jc w:val="both"/>
      </w:pPr>
      <w:r>
        <w:rPr>
          <w:sz w:val="24"/>
        </w:rPr>
        <w:t xml:space="preserve">- порядок возврата заявок на доработку;</w:t>
      </w:r>
    </w:p>
    <w:p>
      <w:pPr>
        <w:pStyle w:val="0"/>
        <w:spacing w:before="240"/>
        <w:ind w:firstLine="540"/>
        <w:jc w:val="both"/>
      </w:pPr>
      <w:r>
        <w:rPr>
          <w:sz w:val="24"/>
        </w:rPr>
        <w:t xml:space="preserve">- порядок отклонения заявок, а также информация об основаниях для их отклонения;</w:t>
      </w:r>
    </w:p>
    <w:p>
      <w:pPr>
        <w:pStyle w:val="0"/>
        <w:spacing w:before="240"/>
        <w:ind w:firstLine="540"/>
        <w:jc w:val="both"/>
      </w:pPr>
      <w:r>
        <w:rPr>
          <w:sz w:val="24"/>
        </w:rPr>
        <w:t xml:space="preserve">- порядок оценки заявок, включающий критерии оценки, показатели критериев оценки и их весовое значение в общей оценке, необходимую для представления участником конкурса информацию по каждому критерию оценки, сведения, документы и материалы, подтверждающие такую информацию, сроки оценки заявок, а также информация об участии конкурсной комиссии в оценке заявок;</w:t>
      </w:r>
    </w:p>
    <w:p>
      <w:pPr>
        <w:pStyle w:val="0"/>
        <w:spacing w:before="240"/>
        <w:ind w:firstLine="540"/>
        <w:jc w:val="both"/>
      </w:pPr>
      <w:r>
        <w:rPr>
          <w:sz w:val="24"/>
        </w:rPr>
        <w:t xml:space="preserve">- объем распределяемого гранта в рамках конкурса, порядок расчета размера гранта, установленный Порядком, правила распределения гранта по результатам конкурса, а также предельное количество победителей конкурса.</w:t>
      </w:r>
    </w:p>
    <w:p>
      <w:pPr>
        <w:pStyle w:val="0"/>
        <w:spacing w:before="240"/>
        <w:ind w:firstLine="540"/>
        <w:jc w:val="both"/>
      </w:pPr>
      <w:r>
        <w:rPr>
          <w:sz w:val="24"/>
        </w:rPr>
        <w:t xml:space="preserve">Внесение изменений в объявление о проведении конкурса осуществляется не позднее наступления даты окончания приема заявок с соблюдением следующих условий:</w:t>
      </w:r>
    </w:p>
    <w:p>
      <w:pPr>
        <w:pStyle w:val="0"/>
        <w:spacing w:before="240"/>
        <w:ind w:firstLine="540"/>
        <w:jc w:val="both"/>
      </w:pPr>
      <w:r>
        <w:rPr>
          <w:sz w:val="24"/>
        </w:rPr>
        <w:t xml:space="preserve">- срок подачи участниками конкурса заявок должен быть продлен таким образом, чтобы со дня, следующего за днем внесения таких изменений, до даты окончания приема заявок указанный срок составлял не менее 10 календарных дней;</w:t>
      </w:r>
    </w:p>
    <w:p>
      <w:pPr>
        <w:pStyle w:val="0"/>
        <w:spacing w:before="240"/>
        <w:ind w:firstLine="540"/>
        <w:jc w:val="both"/>
      </w:pPr>
      <w:r>
        <w:rPr>
          <w:sz w:val="24"/>
        </w:rPr>
        <w:t xml:space="preserve">- при внесении изменений в объявление о проведении конкурса изменение способа отбора получателей грантов не допускается;</w:t>
      </w:r>
    </w:p>
    <w:p>
      <w:pPr>
        <w:pStyle w:val="0"/>
        <w:spacing w:before="240"/>
        <w:ind w:firstLine="540"/>
        <w:jc w:val="both"/>
      </w:pPr>
      <w:r>
        <w:rPr>
          <w:sz w:val="24"/>
        </w:rPr>
        <w:t xml:space="preserve">- в случае внесения изменений в объявление о проведении конкурса после наступления даты начала приема заявок в объявление о проведении конкурса включается положение, предусматривающее право участников конкурса внести изменения в заявки;</w:t>
      </w:r>
    </w:p>
    <w:p>
      <w:pPr>
        <w:pStyle w:val="0"/>
        <w:spacing w:before="240"/>
        <w:ind w:firstLine="540"/>
        <w:jc w:val="both"/>
      </w:pPr>
      <w:r>
        <w:rPr>
          <w:sz w:val="24"/>
        </w:rPr>
        <w:t xml:space="preserve">- участники конкурса, подавшие заявки, уведомляются о внесении изменений в объявление о проведении конкурса не позднее дня, следующего за днем внесения изменений в объявление о проведении конкурса, с использованием системы "Электронный бюджет".</w:t>
      </w:r>
    </w:p>
    <w:bookmarkStart w:id="86" w:name="P86"/>
    <w:bookmarkEnd w:id="86"/>
    <w:p>
      <w:pPr>
        <w:pStyle w:val="0"/>
        <w:spacing w:before="240"/>
        <w:ind w:firstLine="540"/>
        <w:jc w:val="both"/>
      </w:pPr>
      <w:r>
        <w:rPr>
          <w:sz w:val="24"/>
        </w:rPr>
        <w:t xml:space="preserve">2.2. Участник конкурса на даты рассмотрения заявки и заключения Соглашения должен соответствовать следующим требованиям:</w:t>
      </w:r>
    </w:p>
    <w:p>
      <w:pPr>
        <w:pStyle w:val="0"/>
        <w:spacing w:before="240"/>
        <w:ind w:firstLine="540"/>
        <w:jc w:val="both"/>
      </w:pPr>
      <w:r>
        <w:rPr>
          <w:sz w:val="24"/>
        </w:rPr>
        <w:t xml:space="preserve">- у участника конкурса на едином налоговом счете должна отсутствовать задолженность по уплате налогов, сборов и страховых взносов в бюджеты бюджетной системы Российской Федерации, превышающая размер, определенный </w:t>
      </w:r>
      <w:r>
        <w:rPr>
          <w:sz w:val="24"/>
        </w:rPr>
        <w:t xml:space="preserve">пунктом 3 статьи 47</w:t>
      </w:r>
      <w:r>
        <w:rPr>
          <w:sz w:val="24"/>
        </w:rPr>
        <w:t xml:space="preserve"> Налогового кодекса Российской Федерации;</w:t>
      </w:r>
    </w:p>
    <w:p>
      <w:pPr>
        <w:pStyle w:val="0"/>
        <w:spacing w:before="240"/>
        <w:ind w:firstLine="540"/>
        <w:jc w:val="both"/>
      </w:pPr>
      <w:r>
        <w:rPr>
          <w:sz w:val="24"/>
        </w:rPr>
        <w:t xml:space="preserve">- у участника конкурса должна отсутствовать просроченная задолженность по возврату в бюджет города иных субсидий, бюджетных инвестиций, а также иная просроченная (неурегулированная) задолженность по денежным обязательствам перед муниципальным образованием город Нижневартовск;</w:t>
      </w:r>
    </w:p>
    <w:p>
      <w:pPr>
        <w:pStyle w:val="0"/>
        <w:spacing w:before="240"/>
        <w:ind w:firstLine="540"/>
        <w:jc w:val="both"/>
      </w:pPr>
      <w:r>
        <w:rPr>
          <w:sz w:val="24"/>
        </w:rPr>
        <w:t xml:space="preserve">- участник конкурса не должен находиться в процессе реорганизации (за исключением реорганизации в форме присоединения к юридическому лицу, являющемуся участником конкурса, другого юридического лица), ликвидации, в отношении участника конкурса не введена процедура банкротства, деятельность участника конкурса не приостановлена в порядке, предусмотренном законодательством Российской Федерации;</w:t>
      </w:r>
    </w:p>
    <w:p>
      <w:pPr>
        <w:pStyle w:val="0"/>
        <w:spacing w:before="240"/>
        <w:ind w:firstLine="540"/>
        <w:jc w:val="both"/>
      </w:pPr>
      <w:r>
        <w:rPr>
          <w:sz w:val="24"/>
        </w:rPr>
        <w:t xml:space="preserve">- в реестре дисквалифицированных лиц отсутствуют сведения о дисквалифицированных руководителе, членах коллегиального исполнительного органа, лице, исполняющем функции единоличного исполнительного органа, или главном бухгалтере (при наличии) участника конкурса;</w:t>
      </w:r>
    </w:p>
    <w:p>
      <w:pPr>
        <w:pStyle w:val="0"/>
        <w:spacing w:before="240"/>
        <w:ind w:firstLine="540"/>
        <w:jc w:val="both"/>
      </w:pPr>
      <w:r>
        <w:rPr>
          <w:sz w:val="24"/>
        </w:rPr>
        <w:t xml:space="preserve">- участник конкурса не должен являться иностранным юридическим лицом, в том числе местом регистрации которого является государство или территория, включенные в утвержденный Министерством финансов Российской Федерации перечень государств и территорий, используемых для промежуточного (офшорного) владения активами в Российской Федерации (далее - офшорные компании), а также российским юридическим лицом, в уставном (складочном) капитале которого доля прямого или косвенного (через третьих лиц) участия офшорных компаний в совокупности превышает 25% (если иное не предусмотрено законодательством Российской Федерации). При расчете доли участия офшорных компаний в капитале российских юридических лиц не учитывается прямое и (или) косвенное участие офшорных компаний в капитале публичных акционерных обществ (в том числе со статусом международной компании), акции которых обращаются на организованных торгах в Российской Федерации, а также косвенное участие таких офшорных компаний в капитале других российских юридических лиц, реализованное через участие в капитале указанных публичных акционерных обществ;</w:t>
      </w:r>
    </w:p>
    <w:p>
      <w:pPr>
        <w:pStyle w:val="0"/>
        <w:spacing w:before="240"/>
        <w:ind w:firstLine="540"/>
        <w:jc w:val="both"/>
      </w:pPr>
      <w:r>
        <w:rPr>
          <w:sz w:val="24"/>
        </w:rPr>
        <w:t xml:space="preserve">- участник конкурса не должен получать средства из бюджета города на основании иных муниципальных правовых актов на цели, установленные </w:t>
      </w:r>
      <w:hyperlink w:tooltip="1.2. Гранты предоставляются в рамках реализации муниципальной программы &quot;Профилактика правонарушений и терроризма в городе Нижневартовске&quot;, утвержденной постановлением администрации города от 22.08.2024 N 707 (далее - муниципальная программа), в целях финансового обеспечения затрат получателей грантов на реализацию проектов (программ) в сфере профилактики незаконного потребления наркотических средств, психотропных веществ, антинаркотической пропаганды (далее - проекты (программы))." w:anchor="P46" w:history="0">
        <w:r>
          <w:rPr>
            <w:color w:val="0000ff"/>
            <w:sz w:val="24"/>
          </w:rPr>
          <w:t xml:space="preserve">пунктом 1.2</w:t>
        </w:r>
      </w:hyperlink>
      <w:r>
        <w:rPr>
          <w:sz w:val="24"/>
        </w:rPr>
        <w:t xml:space="preserve"> Порядка;</w:t>
      </w:r>
    </w:p>
    <w:p>
      <w:pPr>
        <w:pStyle w:val="0"/>
        <w:spacing w:before="240"/>
        <w:ind w:firstLine="540"/>
        <w:jc w:val="both"/>
      </w:pPr>
      <w:r>
        <w:rPr>
          <w:sz w:val="24"/>
        </w:rPr>
        <w:t xml:space="preserve">- участник конкурса не должен находиться в перечне организаций и физических лиц, в отношении которых имеются сведения об их причастности к экстремистской деятельности или терроризму;</w:t>
      </w:r>
    </w:p>
    <w:p>
      <w:pPr>
        <w:pStyle w:val="0"/>
        <w:spacing w:before="240"/>
        <w:ind w:firstLine="540"/>
        <w:jc w:val="both"/>
      </w:pPr>
      <w:r>
        <w:rPr>
          <w:sz w:val="24"/>
        </w:rPr>
        <w:t xml:space="preserve">- участник конкурса не должен находиться в составляемых в рамках реализации полномочий, предусмотренных </w:t>
      </w:r>
      <w:r>
        <w:rPr>
          <w:sz w:val="24"/>
        </w:rPr>
        <w:t xml:space="preserve">главой VII</w:t>
      </w:r>
      <w:r>
        <w:rPr>
          <w:sz w:val="24"/>
        </w:rPr>
        <w:t xml:space="preserve"> Устава ООН, Советом Безопасности ООН или органами, специально созданными решениями Совета Безопасности ООН, перечнях организаций и физических лиц, связанных с террористическими организациями и террористами или с распространением оружия массового уничтожения;</w:t>
      </w:r>
    </w:p>
    <w:p>
      <w:pPr>
        <w:pStyle w:val="0"/>
        <w:spacing w:before="240"/>
        <w:ind w:firstLine="540"/>
        <w:jc w:val="both"/>
      </w:pPr>
      <w:r>
        <w:rPr>
          <w:sz w:val="24"/>
        </w:rPr>
        <w:t xml:space="preserve">- участник конкурса не должен являться иностранным агентом в соответствии с Федеральным </w:t>
      </w:r>
      <w:r>
        <w:rPr>
          <w:sz w:val="24"/>
        </w:rPr>
        <w:t xml:space="preserve">законом</w:t>
      </w:r>
      <w:r>
        <w:rPr>
          <w:sz w:val="24"/>
        </w:rPr>
        <w:t xml:space="preserve"> от 14.07.2022 N 255-ФЗ "О контроле за деятельностью лиц, находящихся под иностранным влиянием".</w:t>
      </w:r>
    </w:p>
    <w:p>
      <w:pPr>
        <w:pStyle w:val="0"/>
        <w:spacing w:before="240"/>
        <w:ind w:firstLine="540"/>
        <w:jc w:val="both"/>
      </w:pPr>
      <w:r>
        <w:rPr>
          <w:sz w:val="24"/>
        </w:rPr>
        <w:t xml:space="preserve">Датой рассмотрения заявок признается дата автоматического формирования протокола вскрытия заявок на едином портале.</w:t>
      </w:r>
    </w:p>
    <w:bookmarkStart w:id="97" w:name="P97"/>
    <w:bookmarkEnd w:id="97"/>
    <w:p>
      <w:pPr>
        <w:pStyle w:val="0"/>
        <w:spacing w:before="240"/>
        <w:ind w:firstLine="540"/>
        <w:jc w:val="both"/>
      </w:pPr>
      <w:r>
        <w:rPr>
          <w:sz w:val="24"/>
        </w:rPr>
        <w:t xml:space="preserve">2.3. Участник конкурса в сроки, установленные в объявлении о проведении конкурса, представляет в систему "Электронный бюджет" посредством заполнения соответствующих экранных форм веб-интерфейса системы "Электронный бюджет" заявку, содержащую информацию об участнике конкурса, о размере запрашиваемого гранта, с электронными копиями документов (документов на бумажном носителе, преобразованных в электронную форму путем сканирования), указанных в </w:t>
      </w:r>
      <w:hyperlink w:tooltip="2.4. Перечень документов, представляемых участником конкурса согласно пункту 2.3 Порядка:" w:anchor="P100" w:history="0">
        <w:r>
          <w:rPr>
            <w:color w:val="0000ff"/>
            <w:sz w:val="24"/>
          </w:rPr>
          <w:t xml:space="preserve">пункте 2.4</w:t>
        </w:r>
      </w:hyperlink>
      <w:r>
        <w:rPr>
          <w:sz w:val="24"/>
        </w:rPr>
        <w:t xml:space="preserve"> Порядка.</w:t>
      </w:r>
    </w:p>
    <w:p>
      <w:pPr>
        <w:pStyle w:val="0"/>
        <w:spacing w:before="240"/>
        <w:ind w:firstLine="540"/>
        <w:jc w:val="both"/>
      </w:pPr>
      <w:r>
        <w:rPr>
          <w:sz w:val="24"/>
        </w:rPr>
        <w:t xml:space="preserve">Заявка в системе "Электронный бюджет" подписывается усиленной квалифицированной электронной подписью руководителя участника конкурса или уполномоченного им лица.</w:t>
      </w:r>
    </w:p>
    <w:p>
      <w:pPr>
        <w:pStyle w:val="0"/>
        <w:spacing w:before="240"/>
        <w:ind w:firstLine="540"/>
        <w:jc w:val="both"/>
      </w:pPr>
      <w:r>
        <w:rPr>
          <w:sz w:val="24"/>
        </w:rPr>
        <w:t xml:space="preserve">Датой представления участником конкурса заявки считается день подписания участником конкурса заявки с присвоением ей регистрационного номера в системе "Электронный бюджет".</w:t>
      </w:r>
    </w:p>
    <w:bookmarkStart w:id="100" w:name="P100"/>
    <w:bookmarkEnd w:id="100"/>
    <w:p>
      <w:pPr>
        <w:pStyle w:val="0"/>
        <w:spacing w:before="240"/>
        <w:ind w:firstLine="540"/>
        <w:jc w:val="both"/>
      </w:pPr>
      <w:r>
        <w:rPr>
          <w:sz w:val="24"/>
        </w:rPr>
        <w:t xml:space="preserve">2.4. Перечень документов, представляемых участником конкурса согласно </w:t>
      </w:r>
      <w:hyperlink w:tooltip="2.3. Участник конкурса в сроки, установленные в объявлении о проведении конкурса, представляет в систему &quot;Электронный бюджет&quot; посредством заполнения соответствующих экранных форм веб-интерфейса системы &quot;Электронный бюджет&quot; заявку, содержащую информацию об участнике конкурса, о размере запрашиваемого гранта, с электронными копиями документов (документов на бумажном носителе, преобразованных в электронную форму путем сканирования), указанных в пункте 2.4 Порядка." w:anchor="P97" w:history="0">
        <w:r>
          <w:rPr>
            <w:color w:val="0000ff"/>
            <w:sz w:val="24"/>
          </w:rPr>
          <w:t xml:space="preserve">пункту 2.3</w:t>
        </w:r>
      </w:hyperlink>
      <w:r>
        <w:rPr>
          <w:sz w:val="24"/>
        </w:rPr>
        <w:t xml:space="preserve"> Порядка:</w:t>
      </w:r>
    </w:p>
    <w:p>
      <w:pPr>
        <w:pStyle w:val="0"/>
        <w:spacing w:before="240"/>
        <w:ind w:firstLine="540"/>
        <w:jc w:val="both"/>
      </w:pPr>
      <w:r>
        <w:rPr>
          <w:sz w:val="24"/>
        </w:rPr>
        <w:t xml:space="preserve">- документы, подтверждающие соответствие участника конкурса требованиям, установленным </w:t>
      </w:r>
      <w:hyperlink w:tooltip="2.2. Участник конкурса на даты рассмотрения заявки и заключения Соглашения должен соответствовать следующим требованиям:" w:anchor="P86" w:history="0">
        <w:r>
          <w:rPr>
            <w:color w:val="0000ff"/>
            <w:sz w:val="24"/>
          </w:rPr>
          <w:t xml:space="preserve">пунктом 2.2</w:t>
        </w:r>
      </w:hyperlink>
      <w:r>
        <w:rPr>
          <w:sz w:val="24"/>
        </w:rPr>
        <w:t xml:space="preserve"> Порядка (в случае готовности участника конкурса представить указанные документы по собственной инициативе);</w:t>
      </w:r>
    </w:p>
    <w:p>
      <w:pPr>
        <w:pStyle w:val="0"/>
        <w:spacing w:before="240"/>
        <w:ind w:firstLine="540"/>
        <w:jc w:val="both"/>
      </w:pPr>
      <w:r>
        <w:rPr>
          <w:sz w:val="24"/>
        </w:rPr>
        <w:t xml:space="preserve">- паспорт гражданина (для руководителя / членов коллегиального исполнительного органа / лиц, исполняющих функции единоличного исполнительного органа / главного бухгалтера юридического лица);</w:t>
      </w:r>
    </w:p>
    <w:p>
      <w:pPr>
        <w:pStyle w:val="0"/>
        <w:spacing w:before="240"/>
        <w:ind w:firstLine="540"/>
        <w:jc w:val="both"/>
      </w:pPr>
      <w:r>
        <w:rPr>
          <w:sz w:val="24"/>
        </w:rPr>
        <w:t xml:space="preserve">- документ, подтверждающий полномочия лица на осуществление действий от имени юридического лица (решение о назначении или об избрании либо приказ о назначении физического лица на должность, в соответствии с которыми такое физическое лицо обладает правом действовать от имени юридического лица без доверенности). В случае если от имени юридического лица действует иное лицо, к заявке прилагается доверенность на осуществление действий от имени юридического лица, заверенная печатью юридического лица (при наличии печати) и подписанная руководителем или уполномоченным руководителем лицом, либо засвидетельствованная в нотариальном порядке копия указанной доверенности. В случае если указанная доверенность подписана лицом, уполномоченным руководителем, к заявке прилагается также документ, подтверждающий полномочия такого лица;</w:t>
      </w:r>
    </w:p>
    <w:p>
      <w:pPr>
        <w:pStyle w:val="0"/>
        <w:spacing w:before="240"/>
        <w:ind w:firstLine="540"/>
        <w:jc w:val="both"/>
      </w:pPr>
      <w:r>
        <w:rPr>
          <w:sz w:val="24"/>
        </w:rPr>
        <w:t xml:space="preserve">- копия устава некоммерческой организации;</w:t>
      </w:r>
    </w:p>
    <w:p>
      <w:pPr>
        <w:pStyle w:val="0"/>
        <w:spacing w:before="240"/>
        <w:ind w:firstLine="540"/>
        <w:jc w:val="both"/>
      </w:pPr>
      <w:r>
        <w:rPr>
          <w:sz w:val="24"/>
        </w:rPr>
        <w:t xml:space="preserve">- проект (программа), отвечающий </w:t>
      </w:r>
      <w:hyperlink w:tooltip="ТРЕБОВАНИЯ" w:anchor="P325" w:history="0">
        <w:r>
          <w:rPr>
            <w:color w:val="0000ff"/>
            <w:sz w:val="24"/>
          </w:rPr>
          <w:t xml:space="preserve">требованиям</w:t>
        </w:r>
      </w:hyperlink>
      <w:r>
        <w:rPr>
          <w:sz w:val="24"/>
        </w:rPr>
        <w:t xml:space="preserve">, установленным приложением 1 к Порядку;</w:t>
      </w:r>
    </w:p>
    <w:p>
      <w:pPr>
        <w:pStyle w:val="0"/>
        <w:spacing w:before="240"/>
        <w:ind w:firstLine="540"/>
        <w:jc w:val="both"/>
      </w:pPr>
      <w:r>
        <w:rPr>
          <w:sz w:val="24"/>
        </w:rPr>
        <w:t xml:space="preserve">- информационная </w:t>
      </w:r>
      <w:hyperlink w:tooltip="Информационная карта проекта (программы)" w:anchor="P366" w:history="0">
        <w:r>
          <w:rPr>
            <w:color w:val="0000ff"/>
            <w:sz w:val="24"/>
          </w:rPr>
          <w:t xml:space="preserve">карта</w:t>
        </w:r>
      </w:hyperlink>
      <w:r>
        <w:rPr>
          <w:sz w:val="24"/>
        </w:rPr>
        <w:t xml:space="preserve"> проекта (программы) по форме согласно приложению 2 к Порядку;</w:t>
      </w:r>
    </w:p>
    <w:p>
      <w:pPr>
        <w:pStyle w:val="0"/>
        <w:spacing w:before="240"/>
        <w:ind w:firstLine="540"/>
        <w:jc w:val="both"/>
      </w:pPr>
      <w:r>
        <w:rPr>
          <w:sz w:val="24"/>
        </w:rPr>
        <w:t xml:space="preserve">- </w:t>
      </w:r>
      <w:hyperlink w:tooltip="План" w:anchor="P424" w:history="0">
        <w:r>
          <w:rPr>
            <w:color w:val="0000ff"/>
            <w:sz w:val="24"/>
          </w:rPr>
          <w:t xml:space="preserve">план</w:t>
        </w:r>
      </w:hyperlink>
      <w:r>
        <w:rPr>
          <w:sz w:val="24"/>
        </w:rPr>
        <w:t xml:space="preserve"> мероприятий по достижению количественных значений результатов реализации проекта (программы) по форме согласно приложению 3 к Порядку;</w:t>
      </w:r>
    </w:p>
    <w:p>
      <w:pPr>
        <w:pStyle w:val="0"/>
        <w:spacing w:before="240"/>
        <w:ind w:firstLine="540"/>
        <w:jc w:val="both"/>
      </w:pPr>
      <w:r>
        <w:rPr>
          <w:sz w:val="24"/>
        </w:rPr>
        <w:t xml:space="preserve">- </w:t>
      </w:r>
      <w:hyperlink w:tooltip="Перечень" w:anchor="P474" w:history="0">
        <w:r>
          <w:rPr>
            <w:color w:val="0000ff"/>
            <w:sz w:val="24"/>
          </w:rPr>
          <w:t xml:space="preserve">перечень</w:t>
        </w:r>
      </w:hyperlink>
      <w:r>
        <w:rPr>
          <w:sz w:val="24"/>
        </w:rPr>
        <w:t xml:space="preserve"> предполагаемых затрат, направленных на реализацию проекта (программы) согласно приложению 4 к Порядку;</w:t>
      </w:r>
    </w:p>
    <w:p>
      <w:pPr>
        <w:pStyle w:val="0"/>
        <w:spacing w:before="240"/>
        <w:ind w:firstLine="540"/>
        <w:jc w:val="both"/>
      </w:pPr>
      <w:r>
        <w:rPr>
          <w:sz w:val="24"/>
        </w:rPr>
        <w:t xml:space="preserve">- реквизиты лицевого счета: для бюджетных учреждений - лицевого счета, открытого в территориальном органе Федерального казначейства или финансовом органе субъекта Российской Федерации (муниципального образования); для автономных учреждений - лицевого счета, открытого в территориальном органе Федерального казначейства или финансовом органе субъекта Российской Федерации (муниципального образования), или расчетного счета в российских кредитных организациях;</w:t>
      </w:r>
    </w:p>
    <w:p>
      <w:pPr>
        <w:pStyle w:val="0"/>
        <w:spacing w:before="240"/>
        <w:ind w:firstLine="540"/>
        <w:jc w:val="both"/>
      </w:pPr>
      <w:r>
        <w:rPr>
          <w:sz w:val="24"/>
        </w:rPr>
        <w:t xml:space="preserve">- согласие учредителя участника конкурса на участие в конкурсе (для бюджетных или автономных организаций, в отношении которых функции и полномочия учредителя осуществляют органы государственной власти (государственный орган) и (или) орган местного самоуправления).</w:t>
      </w:r>
    </w:p>
    <w:p>
      <w:pPr>
        <w:pStyle w:val="0"/>
        <w:spacing w:before="240"/>
        <w:ind w:firstLine="540"/>
        <w:jc w:val="both"/>
      </w:pPr>
      <w:r>
        <w:rPr>
          <w:sz w:val="24"/>
        </w:rPr>
        <w:t xml:space="preserve">Документы должны иметь распространенные открытые форматы, обеспечивающие возможность просмотра всего документа либо его фрагмента средствами общедоступного программного обеспечения просмотра информации, и не должны быть зашифрованы или защищены средствами, не позволяющими осуществить ознакомление с их содержимым без специальных программных или технологических средств.</w:t>
      </w:r>
    </w:p>
    <w:p>
      <w:pPr>
        <w:pStyle w:val="0"/>
        <w:spacing w:before="240"/>
        <w:ind w:firstLine="540"/>
        <w:jc w:val="both"/>
      </w:pPr>
      <w:r>
        <w:rPr>
          <w:sz w:val="24"/>
        </w:rPr>
        <w:t xml:space="preserve">Документы должны отвечать следующим требованиям:</w:t>
      </w:r>
    </w:p>
    <w:p>
      <w:pPr>
        <w:pStyle w:val="0"/>
        <w:spacing w:before="240"/>
        <w:ind w:firstLine="540"/>
        <w:jc w:val="both"/>
      </w:pPr>
      <w:r>
        <w:rPr>
          <w:sz w:val="24"/>
        </w:rPr>
        <w:t xml:space="preserve">- должны обеспечивать сохранение всех реквизитов и аутентичных признаков подлинности, должны содержать графическую подпись лица, печать (при наличии);</w:t>
      </w:r>
    </w:p>
    <w:p>
      <w:pPr>
        <w:pStyle w:val="0"/>
        <w:spacing w:before="240"/>
        <w:ind w:firstLine="540"/>
        <w:jc w:val="both"/>
      </w:pPr>
      <w:r>
        <w:rPr>
          <w:sz w:val="24"/>
        </w:rPr>
        <w:t xml:space="preserve">- сканирование документов на бумажном носителе должно производиться в масштабе 1:1 в черно-белом либо сером цвете (качество 200 - 300 точек на дюйм), сканирование в режиме полной цветопередачи должно осуществляться при наличии в документах цветных графических изображений либо цветного текста;</w:t>
      </w:r>
    </w:p>
    <w:p>
      <w:pPr>
        <w:pStyle w:val="0"/>
        <w:spacing w:before="240"/>
        <w:ind w:firstLine="540"/>
        <w:jc w:val="both"/>
      </w:pPr>
      <w:r>
        <w:rPr>
          <w:sz w:val="24"/>
        </w:rPr>
        <w:t xml:space="preserve">- должны быть в формате PDF, размер файла не должен превышать 10 Мб;</w:t>
      </w:r>
    </w:p>
    <w:p>
      <w:pPr>
        <w:pStyle w:val="0"/>
        <w:spacing w:before="240"/>
        <w:ind w:firstLine="540"/>
        <w:jc w:val="both"/>
      </w:pPr>
      <w:r>
        <w:rPr>
          <w:sz w:val="24"/>
        </w:rPr>
        <w:t xml:space="preserve">- каждый отдельный документ должен представляться в виде отдельного файла.</w:t>
      </w:r>
    </w:p>
    <w:p>
      <w:pPr>
        <w:pStyle w:val="0"/>
        <w:spacing w:before="240"/>
        <w:ind w:firstLine="540"/>
        <w:jc w:val="both"/>
      </w:pPr>
      <w:r>
        <w:rPr>
          <w:sz w:val="24"/>
        </w:rPr>
        <w:t xml:space="preserve">Документы, которые не поддаются прочтению либо имеют серьезные повреждения, приписки, зачеркнутые слова и иные исправления, за исключением оговоренных, считаются неподанными.</w:t>
      </w:r>
    </w:p>
    <w:p>
      <w:pPr>
        <w:pStyle w:val="0"/>
        <w:spacing w:before="240"/>
        <w:ind w:firstLine="540"/>
        <w:jc w:val="both"/>
      </w:pPr>
      <w:r>
        <w:rPr>
          <w:sz w:val="24"/>
        </w:rPr>
        <w:t xml:space="preserve">2.5. Участник конкурса вправе отозвать заявку, внести изменения в заявку посредством заполнения соответствующих экранных форм веб-интерфейса системы "Электронный бюджет" не позднее даты окончания срока подачи заявок.</w:t>
      </w:r>
    </w:p>
    <w:p>
      <w:pPr>
        <w:pStyle w:val="0"/>
        <w:spacing w:before="240"/>
        <w:ind w:firstLine="540"/>
        <w:jc w:val="both"/>
      </w:pPr>
      <w:r>
        <w:rPr>
          <w:sz w:val="24"/>
        </w:rPr>
        <w:t xml:space="preserve">2.6. При отзыве заявки участником конкурса в системе "Электронный бюджет" заявка не подлежит рассмотрению в соответствии с Порядком и считается отозванной участником конкурса.</w:t>
      </w:r>
    </w:p>
    <w:p>
      <w:pPr>
        <w:pStyle w:val="0"/>
        <w:spacing w:before="240"/>
        <w:ind w:firstLine="540"/>
        <w:jc w:val="both"/>
      </w:pPr>
      <w:r>
        <w:rPr>
          <w:sz w:val="24"/>
        </w:rPr>
        <w:t xml:space="preserve">2.7. Основанием для возврата заявки является отзыв заявки участником конкурса.</w:t>
      </w:r>
    </w:p>
    <w:p>
      <w:pPr>
        <w:pStyle w:val="0"/>
        <w:spacing w:before="240"/>
        <w:ind w:firstLine="540"/>
        <w:jc w:val="both"/>
      </w:pPr>
      <w:r>
        <w:rPr>
          <w:sz w:val="24"/>
        </w:rPr>
        <w:t xml:space="preserve">2.8. Доступ к заявкам для их рассмотрения и оценки открывается Уполномоченному органу в системе "Электронный бюджет" не позднее первого рабочего дня, следующего за днем окончания срока подачи заявок.</w:t>
      </w:r>
    </w:p>
    <w:p>
      <w:pPr>
        <w:pStyle w:val="0"/>
        <w:spacing w:before="240"/>
        <w:ind w:firstLine="540"/>
        <w:jc w:val="both"/>
      </w:pPr>
      <w:r>
        <w:rPr>
          <w:sz w:val="24"/>
        </w:rPr>
        <w:t xml:space="preserve">На едином портале автоматически формируется протокол вскрытия заявок, который подписывается усиленной квалифицированной электронной подписью руководителя Уполномоченного органа либо лица, исполняющего его обязанности по должности в соответствии с распоряжением администрации города, в системе "Электронный бюджет" не позднее первого рабочего дня, следующего за днем окончания приема заявок.</w:t>
      </w:r>
    </w:p>
    <w:p>
      <w:pPr>
        <w:pStyle w:val="0"/>
        <w:spacing w:before="240"/>
        <w:ind w:firstLine="540"/>
        <w:jc w:val="both"/>
      </w:pPr>
      <w:r>
        <w:rPr>
          <w:sz w:val="24"/>
        </w:rPr>
        <w:t xml:space="preserve">Уполномоченный орган размещает протокол вскрытия заявок на едином портале не позднее первого рабочего дня, следующего за днем его подписания.</w:t>
      </w:r>
    </w:p>
    <w:p>
      <w:pPr>
        <w:pStyle w:val="0"/>
        <w:spacing w:before="240"/>
        <w:ind w:firstLine="540"/>
        <w:jc w:val="both"/>
      </w:pPr>
      <w:r>
        <w:rPr>
          <w:sz w:val="24"/>
        </w:rPr>
        <w:t xml:space="preserve">2.9. Уполномоченный орган при выявлении в заявке недостатков технического характера направляет в системе "Электронный бюджет" заявку участнику конкурса на доработку в течение 3 рабочих дней с даты открытия доступа к заявкам для их рассмотрения и оценки.</w:t>
      </w:r>
    </w:p>
    <w:p>
      <w:pPr>
        <w:pStyle w:val="0"/>
        <w:spacing w:before="240"/>
        <w:ind w:firstLine="540"/>
        <w:jc w:val="both"/>
      </w:pPr>
      <w:r>
        <w:rPr>
          <w:sz w:val="24"/>
        </w:rPr>
        <w:t xml:space="preserve">Участник конкурса в течение 3 рабочих дней после получения в системе "Электронный бюджет" заявки на доработку вправе внести в нее изменения и повторно направить доработанную заявку в порядке, аналогичном порядку формирования заявки, установленному </w:t>
      </w:r>
      <w:hyperlink w:tooltip="2.3. Участник конкурса в сроки, установленные в объявлении о проведении конкурса, представляет в систему &quot;Электронный бюджет&quot; посредством заполнения соответствующих экранных форм веб-интерфейса системы &quot;Электронный бюджет&quot; заявку, содержащую информацию об участнике конкурса, о размере запрашиваемого гранта, с электронными копиями документов (документов на бумажном носителе, преобразованных в электронную форму путем сканирования), указанных в пункте 2.4 Порядка." w:anchor="P97" w:history="0">
        <w:r>
          <w:rPr>
            <w:color w:val="0000ff"/>
            <w:sz w:val="24"/>
          </w:rPr>
          <w:t xml:space="preserve">пунктами 2.3</w:t>
        </w:r>
      </w:hyperlink>
      <w:r>
        <w:rPr>
          <w:sz w:val="24"/>
        </w:rPr>
        <w:t xml:space="preserve">, </w:t>
      </w:r>
      <w:hyperlink w:tooltip="2.4. Перечень документов, представляемых участником конкурса согласно пункту 2.3 Порядка:" w:anchor="P100" w:history="0">
        <w:r>
          <w:rPr>
            <w:color w:val="0000ff"/>
            <w:sz w:val="24"/>
          </w:rPr>
          <w:t xml:space="preserve">2.4</w:t>
        </w:r>
      </w:hyperlink>
      <w:r>
        <w:rPr>
          <w:sz w:val="24"/>
        </w:rPr>
        <w:t xml:space="preserve"> Порядка.</w:t>
      </w:r>
    </w:p>
    <w:p>
      <w:pPr>
        <w:pStyle w:val="0"/>
        <w:spacing w:before="240"/>
        <w:ind w:firstLine="540"/>
        <w:jc w:val="both"/>
      </w:pPr>
      <w:r>
        <w:rPr>
          <w:sz w:val="24"/>
        </w:rPr>
        <w:t xml:space="preserve">2.10. Участник конкурса вправе со дня, следующего за днем размещения объявления о проведении конкурса, и до окончания срока приема заявок направить в Уполномоченный орган запрос о разъяснении положений объявления о проведении конкурса, подписанный участником конкурса либо лицом, уполномоченным на осуществление действий от имени участника конкурса, и скрепленный печатью (при наличии печати) участника конкурса.</w:t>
      </w:r>
    </w:p>
    <w:p>
      <w:pPr>
        <w:pStyle w:val="0"/>
        <w:spacing w:before="240"/>
        <w:ind w:firstLine="540"/>
        <w:jc w:val="both"/>
      </w:pPr>
      <w:r>
        <w:rPr>
          <w:sz w:val="24"/>
        </w:rPr>
        <w:t xml:space="preserve">2.11. Уполномоченный орган обеспечивает направление участнику конкурса разъяснения положений объявления о проведении конкурса письмом Уполномоченного органа не позднее 3 рабочих дней со дня, следующего за днем регистрации Уполномоченным органом запроса о разъяснении положений объявления о проведении конкурса.</w:t>
      </w:r>
    </w:p>
    <w:p>
      <w:pPr>
        <w:pStyle w:val="0"/>
        <w:spacing w:before="240"/>
        <w:ind w:firstLine="540"/>
        <w:jc w:val="both"/>
      </w:pPr>
      <w:r>
        <w:rPr>
          <w:sz w:val="24"/>
        </w:rPr>
        <w:t xml:space="preserve">2.12. Проверка участника конкурса.</w:t>
      </w:r>
    </w:p>
    <w:p>
      <w:pPr>
        <w:pStyle w:val="0"/>
        <w:spacing w:before="240"/>
        <w:ind w:firstLine="540"/>
        <w:jc w:val="both"/>
      </w:pPr>
      <w:r>
        <w:rPr>
          <w:sz w:val="24"/>
        </w:rPr>
        <w:t xml:space="preserve">2.12.1. Проверка участника конкурса на соответствие требованиям, установленным </w:t>
      </w:r>
      <w:hyperlink w:tooltip="1.8. Категории участников конкурса: муниципальные бюджетные и автономные учреждения города Нижневартовска (далее - Учреждения)." w:anchor="P58" w:history="0">
        <w:r>
          <w:rPr>
            <w:color w:val="0000ff"/>
            <w:sz w:val="24"/>
          </w:rPr>
          <w:t xml:space="preserve">пунктами 1.8</w:t>
        </w:r>
      </w:hyperlink>
      <w:r>
        <w:rPr>
          <w:sz w:val="24"/>
        </w:rPr>
        <w:t xml:space="preserve">, </w:t>
      </w:r>
      <w:hyperlink w:tooltip="2.2. Участник конкурса на даты рассмотрения заявки и заключения Соглашения должен соответствовать следующим требованиям:" w:anchor="P86" w:history="0">
        <w:r>
          <w:rPr>
            <w:color w:val="0000ff"/>
            <w:sz w:val="24"/>
          </w:rPr>
          <w:t xml:space="preserve">2.2</w:t>
        </w:r>
      </w:hyperlink>
      <w:r>
        <w:rPr>
          <w:sz w:val="24"/>
        </w:rPr>
        <w:t xml:space="preserve"> Порядка, осуществляется автоматически в системе "Электронный бюджет" на основании данных государственных информационных систем, в том числе с использованием единой системы межведомственного электронного взаимодействия (при наличии технической возможности).</w:t>
      </w:r>
    </w:p>
    <w:p>
      <w:pPr>
        <w:pStyle w:val="0"/>
        <w:spacing w:before="240"/>
        <w:ind w:firstLine="540"/>
        <w:jc w:val="both"/>
      </w:pPr>
      <w:r>
        <w:rPr>
          <w:sz w:val="24"/>
        </w:rPr>
        <w:t xml:space="preserve">Подтверждение соответствия участника конкурса требованиям, установленным </w:t>
      </w:r>
      <w:hyperlink w:tooltip="1.8. Категории участников конкурса: муниципальные бюджетные и автономные учреждения города Нижневартовска (далее - Учреждения)." w:anchor="P58" w:history="0">
        <w:r>
          <w:rPr>
            <w:color w:val="0000ff"/>
            <w:sz w:val="24"/>
          </w:rPr>
          <w:t xml:space="preserve">пунктами 1.8</w:t>
        </w:r>
      </w:hyperlink>
      <w:r>
        <w:rPr>
          <w:sz w:val="24"/>
        </w:rPr>
        <w:t xml:space="preserve">, </w:t>
      </w:r>
      <w:hyperlink w:tooltip="2.2. Участник конкурса на даты рассмотрения заявки и заключения Соглашения должен соответствовать следующим требованиям:" w:anchor="P86" w:history="0">
        <w:r>
          <w:rPr>
            <w:color w:val="0000ff"/>
            <w:sz w:val="24"/>
          </w:rPr>
          <w:t xml:space="preserve">2.2</w:t>
        </w:r>
      </w:hyperlink>
      <w:r>
        <w:rPr>
          <w:sz w:val="24"/>
        </w:rPr>
        <w:t xml:space="preserve"> Порядка, в случае отсутствия технической возможности осуществления автоматической проверки в системе "Электронный бюджет" осуществляется путем проставления в электронном виде участником конкурса отметок о соответствии указанным требованиям посредством заполнения соответствующих экранных форм веб-интерфейса системы "Электронный бюджет".</w:t>
      </w:r>
    </w:p>
    <w:p>
      <w:pPr>
        <w:pStyle w:val="0"/>
        <w:spacing w:before="240"/>
        <w:ind w:firstLine="540"/>
        <w:jc w:val="both"/>
      </w:pPr>
      <w:r>
        <w:rPr>
          <w:sz w:val="24"/>
        </w:rPr>
        <w:t xml:space="preserve">Запрещается требовать от участника конкурса представления документов и информации в целях подтверждения его соответствия требованиям, установленным </w:t>
      </w:r>
      <w:hyperlink w:tooltip="1.8. Категории участников конкурса: муниципальные бюджетные и автономные учреждения города Нижневартовска (далее - Учреждения)." w:anchor="P58" w:history="0">
        <w:r>
          <w:rPr>
            <w:color w:val="0000ff"/>
            <w:sz w:val="24"/>
          </w:rPr>
          <w:t xml:space="preserve">пунктами 1.8</w:t>
        </w:r>
      </w:hyperlink>
      <w:r>
        <w:rPr>
          <w:sz w:val="24"/>
        </w:rPr>
        <w:t xml:space="preserve">, </w:t>
      </w:r>
      <w:hyperlink w:tooltip="2.2. Участник конкурса на даты рассмотрения заявки и заключения Соглашения должен соответствовать следующим требованиям:" w:anchor="P86" w:history="0">
        <w:r>
          <w:rPr>
            <w:color w:val="0000ff"/>
            <w:sz w:val="24"/>
          </w:rPr>
          <w:t xml:space="preserve">2.2</w:t>
        </w:r>
      </w:hyperlink>
      <w:r>
        <w:rPr>
          <w:sz w:val="24"/>
        </w:rPr>
        <w:t xml:space="preserve"> Порядка, при наличии соответствующей информации в государственных информационных системах, доступ к которым имеется у главного распорядителя бюджетных средств в рамках межведомственного электронного взаимодействия, за исключением случая, если участник конкурса готов представить указанные документы и информацию главному распорядителю бюджетных средств по собственной инициативе.</w:t>
      </w:r>
    </w:p>
    <w:p>
      <w:pPr>
        <w:pStyle w:val="0"/>
        <w:spacing w:before="240"/>
        <w:ind w:firstLine="540"/>
        <w:jc w:val="both"/>
      </w:pPr>
      <w:r>
        <w:rPr>
          <w:sz w:val="24"/>
        </w:rPr>
        <w:t xml:space="preserve">2.12.2. Дополнительно в целях проверки участников конкурса на соответствие требованиям, установленным </w:t>
      </w:r>
      <w:hyperlink w:tooltip="1.8. Категории участников конкурса: муниципальные бюджетные и автономные учреждения города Нижневартовска (далее - Учреждения)." w:anchor="P58" w:history="0">
        <w:r>
          <w:rPr>
            <w:color w:val="0000ff"/>
            <w:sz w:val="24"/>
          </w:rPr>
          <w:t xml:space="preserve">пунктами 1.8</w:t>
        </w:r>
      </w:hyperlink>
      <w:r>
        <w:rPr>
          <w:sz w:val="24"/>
        </w:rPr>
        <w:t xml:space="preserve">, </w:t>
      </w:r>
      <w:hyperlink w:tooltip="2.2. Участник конкурса на даты рассмотрения заявки и заключения Соглашения должен соответствовать следующим требованиям:" w:anchor="P86" w:history="0">
        <w:r>
          <w:rPr>
            <w:color w:val="0000ff"/>
            <w:sz w:val="24"/>
          </w:rPr>
          <w:t xml:space="preserve">2.2</w:t>
        </w:r>
      </w:hyperlink>
      <w:r>
        <w:rPr>
          <w:sz w:val="24"/>
        </w:rPr>
        <w:t xml:space="preserve"> Порядка, Уполномоченный орган самостоятельно получает в открытом доступе в сети "Интернет":</w:t>
      </w:r>
    </w:p>
    <w:p>
      <w:pPr>
        <w:pStyle w:val="0"/>
        <w:spacing w:before="240"/>
        <w:ind w:firstLine="540"/>
        <w:jc w:val="both"/>
      </w:pPr>
      <w:r>
        <w:rPr>
          <w:sz w:val="24"/>
        </w:rPr>
        <w:t xml:space="preserve">- выписку из Единого государственного реестра юридических лиц (на официальном сайте Федеральной налоговой службы);</w:t>
      </w:r>
    </w:p>
    <w:p>
      <w:pPr>
        <w:pStyle w:val="0"/>
        <w:spacing w:before="240"/>
        <w:ind w:firstLine="540"/>
        <w:jc w:val="both"/>
      </w:pPr>
      <w:r>
        <w:rPr>
          <w:sz w:val="24"/>
        </w:rPr>
        <w:t xml:space="preserve">- сведения об отсутствии участника конкурса в перечне организаций и физических лиц, в отношении которых имеются сведения об их причастности к экстремистской деятельности или терроризму (на официальном сайте Федеральной службы по финансовому мониторингу);</w:t>
      </w:r>
    </w:p>
    <w:p>
      <w:pPr>
        <w:pStyle w:val="0"/>
        <w:spacing w:before="240"/>
        <w:ind w:firstLine="540"/>
        <w:jc w:val="both"/>
      </w:pPr>
      <w:r>
        <w:rPr>
          <w:sz w:val="24"/>
        </w:rPr>
        <w:t xml:space="preserve">- сведения об отсутствии участника конкурса в составляемых в рамках реализации полномочий, предусмотренных </w:t>
      </w:r>
      <w:r>
        <w:rPr>
          <w:sz w:val="24"/>
        </w:rPr>
        <w:t xml:space="preserve">главой VII</w:t>
      </w:r>
      <w:r>
        <w:rPr>
          <w:sz w:val="24"/>
        </w:rPr>
        <w:t xml:space="preserve"> Устава ООН, Советом Безопасности ООН или органами, специально созданными решениями Совета Безопасности ООН, перечнях организаций и физических лиц, связанных с террористическими организациями и террористами или с распространением оружия массового уничтожения (на официальном сайте Совета Безопасности ООН);</w:t>
      </w:r>
    </w:p>
    <w:p>
      <w:pPr>
        <w:pStyle w:val="0"/>
        <w:spacing w:before="240"/>
        <w:ind w:firstLine="540"/>
        <w:jc w:val="both"/>
      </w:pPr>
      <w:r>
        <w:rPr>
          <w:sz w:val="24"/>
        </w:rPr>
        <w:t xml:space="preserve">- сведения, подтверждающие, что участник конкурса не является иностранным агентом в соответствии с Федеральным </w:t>
      </w:r>
      <w:r>
        <w:rPr>
          <w:sz w:val="24"/>
        </w:rPr>
        <w:t xml:space="preserve">законом</w:t>
      </w:r>
      <w:r>
        <w:rPr>
          <w:sz w:val="24"/>
        </w:rPr>
        <w:t xml:space="preserve"> от 14.07.2022 N 255-ФЗ "О контроле за деятельностью лиц, находящихся под иностранным влиянием" (на официальном сайте Министерства юстиции Российской Федерации);</w:t>
      </w:r>
    </w:p>
    <w:p>
      <w:pPr>
        <w:pStyle w:val="0"/>
        <w:spacing w:before="240"/>
        <w:ind w:firstLine="540"/>
        <w:jc w:val="both"/>
      </w:pPr>
      <w:r>
        <w:rPr>
          <w:sz w:val="24"/>
        </w:rPr>
        <w:t xml:space="preserve">- сведения, что участник конкурса, являющийся юридическим лицом, не находится в процессе реорганизации (за исключением реорганизации в форме присоединения к юридическому лицу, являющемуся участником конкурса, другого юридического лица), ликвидации, в отношении участника конкурса не введена процедура банкротства, деятельность участника конкурса не приостановлена в порядке, предусмотренном законодательством Российской Федерации (на официальном сайте Федеральной налоговой службы);</w:t>
      </w:r>
    </w:p>
    <w:p>
      <w:pPr>
        <w:pStyle w:val="0"/>
        <w:spacing w:before="240"/>
        <w:ind w:firstLine="540"/>
        <w:jc w:val="both"/>
      </w:pPr>
      <w:r>
        <w:rPr>
          <w:sz w:val="24"/>
        </w:rPr>
        <w:t xml:space="preserve">- сведения об отсутствии в реестре дисквалифицированных лиц сведений о дисквалифицированных руководителе, членах коллегиального исполнительного органа, лице, исполняющем функции единоличного исполнительного органа, или главном бухгалтере (при наличии) участника конкурса, являющегося юридическим лицом (на официальном сайте Федеральной налоговой службы).</w:t>
      </w:r>
    </w:p>
    <w:p>
      <w:pPr>
        <w:pStyle w:val="0"/>
        <w:spacing w:before="240"/>
        <w:ind w:firstLine="540"/>
        <w:jc w:val="both"/>
      </w:pPr>
      <w:r>
        <w:rPr>
          <w:sz w:val="24"/>
        </w:rPr>
        <w:t xml:space="preserve">2.12.3. Дополнительно в целях проверки участников конкурса на соответствие требованиям, установленным </w:t>
      </w:r>
      <w:hyperlink w:tooltip="2.2. Участник конкурса на даты рассмотрения заявки и заключения Соглашения должен соответствовать следующим требованиям:" w:anchor="P86" w:history="0">
        <w:r>
          <w:rPr>
            <w:color w:val="0000ff"/>
            <w:sz w:val="24"/>
          </w:rPr>
          <w:t xml:space="preserve">пунктом 2.2</w:t>
        </w:r>
      </w:hyperlink>
      <w:r>
        <w:rPr>
          <w:sz w:val="24"/>
        </w:rPr>
        <w:t xml:space="preserve"> Порядка, Уполномоченный орган самостоятельно в структурных подразделениях администрации города запрашивает:</w:t>
      </w:r>
    </w:p>
    <w:p>
      <w:pPr>
        <w:pStyle w:val="0"/>
        <w:spacing w:before="240"/>
        <w:ind w:firstLine="540"/>
        <w:jc w:val="both"/>
      </w:pPr>
      <w:r>
        <w:rPr>
          <w:sz w:val="24"/>
        </w:rPr>
        <w:t xml:space="preserve">- сведения об отсутствии у участника конкурса просроченной задолженности по возврату в бюджет города иных субсидий, бюджетных инвестиций, а также просроченной (неурегулированной) задолженности по денежным обязательствам перед муниципальным образованием город Нижневартовск;</w:t>
      </w:r>
    </w:p>
    <w:p>
      <w:pPr>
        <w:pStyle w:val="0"/>
        <w:spacing w:before="240"/>
        <w:ind w:firstLine="540"/>
        <w:jc w:val="both"/>
      </w:pPr>
      <w:r>
        <w:rPr>
          <w:sz w:val="24"/>
        </w:rPr>
        <w:t xml:space="preserve">- сведения, подтверждающие, что участник конкурса не получает из бюджета города средства на основании иных муниципальных правовых актов на цели, установленные </w:t>
      </w:r>
      <w:hyperlink w:tooltip="1.2. Гранты предоставляются в рамках реализации муниципальной программы &quot;Профилактика правонарушений и терроризма в городе Нижневартовске&quot;, утвержденной постановлением администрации города от 22.08.2024 N 707 (далее - муниципальная программа), в целях финансового обеспечения затрат получателей грантов на реализацию проектов (программ) в сфере профилактики незаконного потребления наркотических средств, психотропных веществ, антинаркотической пропаганды (далее - проекты (программы))." w:anchor="P46" w:history="0">
        <w:r>
          <w:rPr>
            <w:color w:val="0000ff"/>
            <w:sz w:val="24"/>
          </w:rPr>
          <w:t xml:space="preserve">пунктом 1.2</w:t>
        </w:r>
      </w:hyperlink>
      <w:r>
        <w:rPr>
          <w:sz w:val="24"/>
        </w:rPr>
        <w:t xml:space="preserve"> Порядка.</w:t>
      </w:r>
    </w:p>
    <w:p>
      <w:pPr>
        <w:pStyle w:val="0"/>
        <w:spacing w:before="240"/>
        <w:ind w:firstLine="540"/>
        <w:jc w:val="both"/>
      </w:pPr>
      <w:r>
        <w:rPr>
          <w:sz w:val="24"/>
        </w:rPr>
        <w:t xml:space="preserve">2.12.4. Дополнительно в целях проверки участников конкурса на соответствие требованиям, установленным </w:t>
      </w:r>
      <w:hyperlink w:tooltip="2.2. Участник конкурса на даты рассмотрения заявки и заключения Соглашения должен соответствовать следующим требованиям:" w:anchor="P86" w:history="0">
        <w:r>
          <w:rPr>
            <w:color w:val="0000ff"/>
            <w:sz w:val="24"/>
          </w:rPr>
          <w:t xml:space="preserve">пунктом 2.2</w:t>
        </w:r>
      </w:hyperlink>
      <w:r>
        <w:rPr>
          <w:sz w:val="24"/>
        </w:rPr>
        <w:t xml:space="preserve"> Порядка, Уполномоченный орган самостоятельно в порядке межведомственного информационного взаимодействия, установленном Федеральным </w:t>
      </w:r>
      <w:r>
        <w:rPr>
          <w:sz w:val="24"/>
        </w:rPr>
        <w:t xml:space="preserve">законом</w:t>
      </w:r>
      <w:r>
        <w:rPr>
          <w:sz w:val="24"/>
        </w:rPr>
        <w:t xml:space="preserve"> от 27.07.2010 N 210-ФЗ "Об организации предоставления государственных и муниципальных услуг", в отношении участников конкурса запрашивает сведения об отсутствии у участника конкурса на едином налоговом счете задолженности по уплате налогов, сборов и страховых взносов в бюджеты бюджетной системы Российской Федерации (через систему исполнения регламентов).</w:t>
      </w:r>
    </w:p>
    <w:bookmarkStart w:id="143" w:name="P143"/>
    <w:bookmarkEnd w:id="143"/>
    <w:p>
      <w:pPr>
        <w:pStyle w:val="0"/>
        <w:spacing w:before="240"/>
        <w:ind w:firstLine="540"/>
        <w:jc w:val="both"/>
      </w:pPr>
      <w:r>
        <w:rPr>
          <w:sz w:val="24"/>
        </w:rPr>
        <w:t xml:space="preserve">2.13. В течение 7 рабочих дней со дня, следующего за днем подписания протокола вскрытия заявок, Уполномоченный орган осуществляет рассмотрение участника конкурса, а также представленных им заявки и документов на наличие (отсутствие) оснований для отклонения заявок, установленных </w:t>
      </w:r>
      <w:hyperlink w:tooltip="2.16. Основания для отклонения заявок на стадии их рассмотрения:" w:anchor="P156" w:history="0">
        <w:r>
          <w:rPr>
            <w:color w:val="0000ff"/>
            <w:sz w:val="24"/>
          </w:rPr>
          <w:t xml:space="preserve">пунктом 2.16</w:t>
        </w:r>
      </w:hyperlink>
      <w:r>
        <w:rPr>
          <w:sz w:val="24"/>
        </w:rPr>
        <w:t xml:space="preserve"> Порядка, оснований для отказа в предоставлении гранта, установленных </w:t>
      </w:r>
      <w:hyperlink w:tooltip="- несоответствие представленных получателем гранта документов требованиям, определенным Порядком, или непредставление (представление не в полном объеме) указанных документов;" w:anchor="P204" w:history="0">
        <w:r>
          <w:rPr>
            <w:color w:val="0000ff"/>
            <w:sz w:val="24"/>
          </w:rPr>
          <w:t xml:space="preserve">абзацами вторым</w:t>
        </w:r>
      </w:hyperlink>
      <w:r>
        <w:rPr>
          <w:sz w:val="24"/>
        </w:rPr>
        <w:t xml:space="preserve">, </w:t>
      </w:r>
      <w:hyperlink w:tooltip="- установление факта недостоверности представленной получателем гранта информации;" w:anchor="P205" w:history="0">
        <w:r>
          <w:rPr>
            <w:color w:val="0000ff"/>
            <w:sz w:val="24"/>
          </w:rPr>
          <w:t xml:space="preserve">третьим пункта 3.1</w:t>
        </w:r>
      </w:hyperlink>
      <w:r>
        <w:rPr>
          <w:sz w:val="24"/>
        </w:rPr>
        <w:t xml:space="preserve"> Порядка, о чем готовит соответствующее заключение.</w:t>
      </w:r>
    </w:p>
    <w:p>
      <w:pPr>
        <w:pStyle w:val="0"/>
        <w:spacing w:before="240"/>
        <w:ind w:firstLine="540"/>
        <w:jc w:val="both"/>
      </w:pPr>
      <w:r>
        <w:rPr>
          <w:sz w:val="24"/>
        </w:rPr>
        <w:t xml:space="preserve">На едином портале на основании результатов рассмотрения заявок автоматически формируется протокол рассмотрения заявок, который подписывается усиленной квалифицированной электронной подписью руководителя Уполномоченного органа в системе "Электронный бюджет" не позднее пятнадцатого рабочего дня со дня, следующего за днем подписания протокола вскрытия заявок, и размещается на едином портале не позднее первого рабочего дня, следующего за днем его подписания.</w:t>
      </w:r>
    </w:p>
    <w:p>
      <w:pPr>
        <w:pStyle w:val="0"/>
        <w:spacing w:before="240"/>
        <w:ind w:firstLine="540"/>
        <w:jc w:val="both"/>
      </w:pPr>
      <w:r>
        <w:rPr>
          <w:sz w:val="24"/>
        </w:rPr>
        <w:t xml:space="preserve">Внесение изменений в протокол рассмотрения заявок осуществляется Уполномоченным органом не позднее 10 календарных дней со дня подписания первой версии протокола рассмотрения заявок путем формирования новой версии указанного протокола с указанием причин внесения изменений.</w:t>
      </w:r>
    </w:p>
    <w:p>
      <w:pPr>
        <w:pStyle w:val="0"/>
        <w:spacing w:before="240"/>
        <w:ind w:firstLine="540"/>
        <w:jc w:val="both"/>
      </w:pPr>
      <w:r>
        <w:rPr>
          <w:sz w:val="24"/>
        </w:rPr>
        <w:t xml:space="preserve">Уполномоченный орган в течение 10 рабочих дней со дня подписания протокола рассмотрения заявок либо последнего внесения изменений в протокол рассмотрения заявок организует заседание конкурсной комиссии.</w:t>
      </w:r>
    </w:p>
    <w:p>
      <w:pPr>
        <w:pStyle w:val="0"/>
        <w:spacing w:before="240"/>
        <w:ind w:firstLine="540"/>
        <w:jc w:val="both"/>
      </w:pPr>
      <w:r>
        <w:rPr>
          <w:sz w:val="24"/>
        </w:rPr>
        <w:t xml:space="preserve">2.14. Рассмотрение заключений Уполномоченного органа, определение победителя (победителей) конкурса и суммы грантов, подведение итогов конкурса осуществляет конкурсная комиссия, состав которой утверждается настоящим постановлением.</w:t>
      </w:r>
    </w:p>
    <w:p>
      <w:pPr>
        <w:pStyle w:val="0"/>
        <w:spacing w:before="240"/>
        <w:ind w:firstLine="540"/>
        <w:jc w:val="both"/>
      </w:pPr>
      <w:r>
        <w:rPr>
          <w:sz w:val="24"/>
        </w:rPr>
        <w:t xml:space="preserve">Для рассмотрения и оценки заявок членам конкурсной комиссии открывается доступ в системе "Электронный бюджет" не позднее первого рабочего дня, следующего за днем окончания срока подачи заявок.</w:t>
      </w:r>
    </w:p>
    <w:p>
      <w:pPr>
        <w:pStyle w:val="0"/>
        <w:spacing w:before="240"/>
        <w:ind w:firstLine="540"/>
        <w:jc w:val="both"/>
      </w:pPr>
      <w:r>
        <w:rPr>
          <w:sz w:val="24"/>
        </w:rPr>
        <w:t xml:space="preserve">Заседание конкурсной комиссии проводит председатель конкурсной комиссии. В случае временного отсутствия председателя конкурсной комиссии заседание конкурсной комиссии проводит лицо, исполняющее его обязанности по должности в соответствии с распоряжением администрации города.</w:t>
      </w:r>
    </w:p>
    <w:p>
      <w:pPr>
        <w:pStyle w:val="0"/>
        <w:spacing w:before="240"/>
        <w:ind w:firstLine="540"/>
        <w:jc w:val="both"/>
      </w:pPr>
      <w:r>
        <w:rPr>
          <w:sz w:val="24"/>
        </w:rPr>
        <w:t xml:space="preserve">Заседание конкурсной комиссии считается правомочным, если на нем присутствует не менее половины членов конкурсной комиссии.</w:t>
      </w:r>
    </w:p>
    <w:p>
      <w:pPr>
        <w:pStyle w:val="0"/>
        <w:spacing w:before="240"/>
        <w:ind w:firstLine="540"/>
        <w:jc w:val="both"/>
      </w:pPr>
      <w:r>
        <w:rPr>
          <w:sz w:val="24"/>
        </w:rPr>
        <w:t xml:space="preserve">Член конкурсной комиссии не принимает участия в заседании конкурсной комиссии в случае наличия у члена конкурсной комиссии признаков аффилированности с участником(ами) конкурса, о чем член конкурсной комиссии обязан заявить до начала заседания конкурсной комиссии.</w:t>
      </w:r>
    </w:p>
    <w:p>
      <w:pPr>
        <w:pStyle w:val="0"/>
        <w:spacing w:before="240"/>
        <w:ind w:firstLine="540"/>
        <w:jc w:val="both"/>
      </w:pPr>
      <w:r>
        <w:rPr>
          <w:sz w:val="24"/>
        </w:rPr>
        <w:t xml:space="preserve">2.15. Конкурсная комиссия в день заседания конкурсной комиссии:</w:t>
      </w:r>
    </w:p>
    <w:p>
      <w:pPr>
        <w:pStyle w:val="0"/>
        <w:spacing w:before="240"/>
        <w:ind w:firstLine="540"/>
        <w:jc w:val="both"/>
      </w:pPr>
      <w:r>
        <w:rPr>
          <w:sz w:val="24"/>
        </w:rPr>
        <w:t xml:space="preserve">- заслушивает публичное представление проектов (программ) участниками конкурса (5 - 7 минут на каждого участника конкурса) и оценивает проекты (программы) в соответствии с критериями оценки, предусмотренными </w:t>
      </w:r>
      <w:hyperlink w:tooltip="Оценочный лист" w:anchor="P565" w:history="0">
        <w:r>
          <w:rPr>
            <w:color w:val="0000ff"/>
            <w:sz w:val="24"/>
          </w:rPr>
          <w:t xml:space="preserve">приложением 5</w:t>
        </w:r>
      </w:hyperlink>
      <w:r>
        <w:rPr>
          <w:sz w:val="24"/>
        </w:rPr>
        <w:t xml:space="preserve"> к Порядку;</w:t>
      </w:r>
    </w:p>
    <w:p>
      <w:pPr>
        <w:pStyle w:val="0"/>
        <w:spacing w:before="240"/>
        <w:ind w:firstLine="540"/>
        <w:jc w:val="both"/>
      </w:pPr>
      <w:r>
        <w:rPr>
          <w:sz w:val="24"/>
        </w:rPr>
        <w:t xml:space="preserve">- определяет победителя (победителей) конкурса.</w:t>
      </w:r>
    </w:p>
    <w:p>
      <w:pPr>
        <w:pStyle w:val="0"/>
        <w:spacing w:before="240"/>
        <w:ind w:firstLine="540"/>
        <w:jc w:val="both"/>
      </w:pPr>
      <w:r>
        <w:rPr>
          <w:sz w:val="24"/>
        </w:rPr>
        <w:t xml:space="preserve">Заявки, поступившие до или после даты и (или) времени, определенных для их подачи, отклоняются в соответствии с </w:t>
      </w:r>
      <w:hyperlink w:tooltip="- подача участником конкурса заявки до или после даты и (или) времени, определенных для ее подачи;" w:anchor="P160" w:history="0">
        <w:r>
          <w:rPr>
            <w:color w:val="0000ff"/>
            <w:sz w:val="24"/>
          </w:rPr>
          <w:t xml:space="preserve">абзацем пятым пункта 2.16</w:t>
        </w:r>
      </w:hyperlink>
      <w:r>
        <w:rPr>
          <w:sz w:val="24"/>
        </w:rPr>
        <w:t xml:space="preserve"> Порядка без проведения процедур, предусмотренных </w:t>
      </w:r>
      <w:hyperlink w:tooltip="2.13. В течение 7 рабочих дней со дня, следующего за днем подписания протокола вскрытия заявок, Уполномоченный орган осуществляет рассмотрение участника конкурса, а также представленных им заявки и документов на наличие (отсутствие) оснований для отклонения заявок, установленных пунктом 2.16 Порядка, оснований для отказа в предоставлении гранта, установленных абзацами вторым, третьим пункта 3.1 Порядка, о чем готовит соответствующее заключение." w:anchor="P143" w:history="0">
        <w:r>
          <w:rPr>
            <w:color w:val="0000ff"/>
            <w:sz w:val="24"/>
          </w:rPr>
          <w:t xml:space="preserve">абзацем первым пункта 2.13</w:t>
        </w:r>
      </w:hyperlink>
      <w:r>
        <w:rPr>
          <w:sz w:val="24"/>
        </w:rPr>
        <w:t xml:space="preserve"> Порядка.</w:t>
      </w:r>
    </w:p>
    <w:bookmarkStart w:id="156" w:name="P156"/>
    <w:bookmarkEnd w:id="156"/>
    <w:p>
      <w:pPr>
        <w:pStyle w:val="0"/>
        <w:spacing w:before="240"/>
        <w:ind w:firstLine="540"/>
        <w:jc w:val="both"/>
      </w:pPr>
      <w:r>
        <w:rPr>
          <w:sz w:val="24"/>
        </w:rPr>
        <w:t xml:space="preserve">2.16. Основания для отклонения заявок на стадии их рассмотрения:</w:t>
      </w:r>
    </w:p>
    <w:p>
      <w:pPr>
        <w:pStyle w:val="0"/>
        <w:spacing w:before="240"/>
        <w:ind w:firstLine="540"/>
        <w:jc w:val="both"/>
      </w:pPr>
      <w:r>
        <w:rPr>
          <w:sz w:val="24"/>
        </w:rPr>
        <w:t xml:space="preserve">- несоответствие участника конкурса требованиям, установленным </w:t>
      </w:r>
      <w:hyperlink w:tooltip="1.8. Категории участников конкурса: муниципальные бюджетные и автономные учреждения города Нижневартовска (далее - Учреждения)." w:anchor="P58" w:history="0">
        <w:r>
          <w:rPr>
            <w:color w:val="0000ff"/>
            <w:sz w:val="24"/>
          </w:rPr>
          <w:t xml:space="preserve">пунктами 1.8</w:t>
        </w:r>
      </w:hyperlink>
      <w:r>
        <w:rPr>
          <w:sz w:val="24"/>
        </w:rPr>
        <w:t xml:space="preserve">, </w:t>
      </w:r>
      <w:hyperlink w:tooltip="2.2. Участник конкурса на даты рассмотрения заявки и заключения Соглашения должен соответствовать следующим требованиям:" w:anchor="P86" w:history="0">
        <w:r>
          <w:rPr>
            <w:color w:val="0000ff"/>
            <w:sz w:val="24"/>
          </w:rPr>
          <w:t xml:space="preserve">2.2</w:t>
        </w:r>
      </w:hyperlink>
      <w:r>
        <w:rPr>
          <w:sz w:val="24"/>
        </w:rPr>
        <w:t xml:space="preserve"> Порядка;</w:t>
      </w:r>
    </w:p>
    <w:p>
      <w:pPr>
        <w:pStyle w:val="0"/>
        <w:spacing w:before="240"/>
        <w:ind w:firstLine="540"/>
        <w:jc w:val="both"/>
      </w:pPr>
      <w:r>
        <w:rPr>
          <w:sz w:val="24"/>
        </w:rPr>
        <w:t xml:space="preserve">- несоответствие представленных участником конкурса заявки и (или) документов требованиям, установленным в объявлении о проведении конкурса;</w:t>
      </w:r>
    </w:p>
    <w:p>
      <w:pPr>
        <w:pStyle w:val="0"/>
        <w:spacing w:before="240"/>
        <w:ind w:firstLine="540"/>
        <w:jc w:val="both"/>
      </w:pPr>
      <w:r>
        <w:rPr>
          <w:sz w:val="24"/>
        </w:rPr>
        <w:t xml:space="preserve">- недостоверность информации, содержащейся в документах, представленных участником конкурса в целях подтверждения соответствия установленным Порядком требованиям;</w:t>
      </w:r>
    </w:p>
    <w:bookmarkStart w:id="160" w:name="P160"/>
    <w:bookmarkEnd w:id="160"/>
    <w:p>
      <w:pPr>
        <w:pStyle w:val="0"/>
        <w:spacing w:before="240"/>
        <w:ind w:firstLine="540"/>
        <w:jc w:val="both"/>
      </w:pPr>
      <w:r>
        <w:rPr>
          <w:sz w:val="24"/>
        </w:rPr>
        <w:t xml:space="preserve">- подача участником конкурса заявки до или после даты и (или) времени, определенных для ее подачи;</w:t>
      </w:r>
    </w:p>
    <w:p>
      <w:pPr>
        <w:pStyle w:val="0"/>
        <w:spacing w:before="240"/>
        <w:ind w:firstLine="540"/>
        <w:jc w:val="both"/>
      </w:pPr>
      <w:r>
        <w:rPr>
          <w:sz w:val="24"/>
        </w:rPr>
        <w:t xml:space="preserve">- непредставление (представление не в полном объеме) документов, указанных в объявлении о проведении конкурса, предусмотренных </w:t>
      </w:r>
      <w:hyperlink w:tooltip="2.4. Перечень документов, представляемых участником конкурса согласно пункту 2.3 Порядка:" w:anchor="P100" w:history="0">
        <w:r>
          <w:rPr>
            <w:color w:val="0000ff"/>
            <w:sz w:val="24"/>
          </w:rPr>
          <w:t xml:space="preserve">пунктом 2.4</w:t>
        </w:r>
      </w:hyperlink>
      <w:r>
        <w:rPr>
          <w:sz w:val="24"/>
        </w:rPr>
        <w:t xml:space="preserve"> Порядка.</w:t>
      </w:r>
    </w:p>
    <w:p>
      <w:pPr>
        <w:pStyle w:val="0"/>
        <w:spacing w:before="240"/>
        <w:ind w:firstLine="540"/>
        <w:jc w:val="both"/>
      </w:pPr>
      <w:r>
        <w:rPr>
          <w:sz w:val="24"/>
        </w:rPr>
        <w:t xml:space="preserve">В случае отклонения заявки по основаниям, установленным настоящим пунктом, или отказа в предоставлении гранта по основаниям, установленным </w:t>
      </w:r>
      <w:hyperlink w:tooltip="- несоответствие представленных получателем гранта документов требованиям, определенным Порядком, или непредставление (представление не в полном объеме) указанных документов;" w:anchor="P204" w:history="0">
        <w:r>
          <w:rPr>
            <w:color w:val="0000ff"/>
            <w:sz w:val="24"/>
          </w:rPr>
          <w:t xml:space="preserve">абзацами вторым</w:t>
        </w:r>
      </w:hyperlink>
      <w:r>
        <w:rPr>
          <w:sz w:val="24"/>
        </w:rPr>
        <w:t xml:space="preserve">, </w:t>
      </w:r>
      <w:hyperlink w:tooltip="- установление факта недостоверности представленной получателем гранта информации;" w:anchor="P205" w:history="0">
        <w:r>
          <w:rPr>
            <w:color w:val="0000ff"/>
            <w:sz w:val="24"/>
          </w:rPr>
          <w:t xml:space="preserve">третьим пункта 3.1</w:t>
        </w:r>
      </w:hyperlink>
      <w:r>
        <w:rPr>
          <w:sz w:val="24"/>
        </w:rPr>
        <w:t xml:space="preserve"> Порядка, публичное представление проекта (программы) участником конкурса не осуществляется.</w:t>
      </w:r>
    </w:p>
    <w:p>
      <w:pPr>
        <w:pStyle w:val="0"/>
        <w:spacing w:before="240"/>
        <w:ind w:firstLine="540"/>
        <w:jc w:val="both"/>
      </w:pPr>
      <w:r>
        <w:rPr>
          <w:sz w:val="24"/>
        </w:rPr>
        <w:t xml:space="preserve">2.17. Уполномоченный орган уведомляет участников конкурса о дате (времени) и месте проведения заседания конкурсной комиссии, на котором осуществляется публичное представление проектов (программ) участниками конкурса, не позднее чем за 3 рабочих дня до даты проведения заседания конкурсной комиссии в письменной форме на адреса электронной почты, указанные в заявках.</w:t>
      </w:r>
    </w:p>
    <w:p>
      <w:pPr>
        <w:pStyle w:val="0"/>
        <w:spacing w:before="240"/>
        <w:ind w:firstLine="540"/>
        <w:jc w:val="both"/>
      </w:pPr>
      <w:r>
        <w:rPr>
          <w:sz w:val="24"/>
        </w:rPr>
        <w:t xml:space="preserve">2.18. В случае неявки участника конкурса на публичное представление проекта (программы) либо непредставления уполномоченным лицом документа, подтверждающего его полномочия, конкурсная комиссия рассматривает это как отказ участника конкурса от участия в конкурсе.</w:t>
      </w:r>
    </w:p>
    <w:p>
      <w:pPr>
        <w:pStyle w:val="0"/>
        <w:spacing w:before="240"/>
        <w:ind w:firstLine="540"/>
        <w:jc w:val="both"/>
      </w:pPr>
      <w:r>
        <w:rPr>
          <w:sz w:val="24"/>
        </w:rPr>
        <w:t xml:space="preserve">2.19. Оценка проектов (программ) производится по критериям оценки, указанным в </w:t>
      </w:r>
      <w:hyperlink w:tooltip="Оценочный лист" w:anchor="P565" w:history="0">
        <w:r>
          <w:rPr>
            <w:color w:val="0000ff"/>
            <w:sz w:val="24"/>
          </w:rPr>
          <w:t xml:space="preserve">приложении 5</w:t>
        </w:r>
      </w:hyperlink>
      <w:r>
        <w:rPr>
          <w:sz w:val="24"/>
        </w:rPr>
        <w:t xml:space="preserve"> к Порядку, которые имеют величину значимости в процентном соотношении от общей оценки (далее - коэффициент весового значения). Сумма величин значимости всех применяемых критериев оценки составляет 100%.</w:t>
      </w:r>
    </w:p>
    <w:p>
      <w:pPr>
        <w:pStyle w:val="0"/>
        <w:spacing w:before="240"/>
        <w:ind w:firstLine="540"/>
        <w:jc w:val="both"/>
      </w:pPr>
      <w:r>
        <w:rPr>
          <w:sz w:val="24"/>
        </w:rPr>
        <w:t xml:space="preserve">Каждый член конкурсной комиссии отдельно от других оценивает проект (программу) по каждому из критериев оценки с использованием 100-балльной шкалы оценки и заполняет оценочный </w:t>
      </w:r>
      <w:hyperlink w:tooltip="Оценочный лист" w:anchor="P565" w:history="0">
        <w:r>
          <w:rPr>
            <w:color w:val="0000ff"/>
            <w:sz w:val="24"/>
          </w:rPr>
          <w:t xml:space="preserve">лист</w:t>
        </w:r>
      </w:hyperlink>
      <w:r>
        <w:rPr>
          <w:sz w:val="24"/>
        </w:rPr>
        <w:t xml:space="preserve"> по форме согласно приложению 5 к Порядку.</w:t>
      </w:r>
    </w:p>
    <w:p>
      <w:pPr>
        <w:pStyle w:val="0"/>
        <w:spacing w:before="240"/>
        <w:ind w:firstLine="540"/>
        <w:jc w:val="both"/>
      </w:pPr>
      <w:r>
        <w:rPr>
          <w:sz w:val="24"/>
        </w:rPr>
        <w:t xml:space="preserve">Сумма баллов, выставленных членами конкурсной комиссии по каждому из критериев оценки оцениваемого проекта (программы), делится на число членов конкурсной комиссии (далее - среднее арифметическое).</w:t>
      </w:r>
    </w:p>
    <w:p>
      <w:pPr>
        <w:pStyle w:val="0"/>
        <w:spacing w:before="240"/>
        <w:ind w:firstLine="540"/>
        <w:jc w:val="both"/>
      </w:pPr>
      <w:r>
        <w:rPr>
          <w:sz w:val="24"/>
        </w:rPr>
        <w:t xml:space="preserve">Итоговое количество баллов оцениваемого проекта (программы) определяется путем сложения средних арифметических по каждому критерию оценки, умноженному на соответствующий коэффициент весового значения.</w:t>
      </w:r>
    </w:p>
    <w:p>
      <w:pPr>
        <w:pStyle w:val="0"/>
        <w:spacing w:before="240"/>
        <w:ind w:firstLine="540"/>
        <w:jc w:val="both"/>
      </w:pPr>
      <w:r>
        <w:rPr>
          <w:sz w:val="24"/>
        </w:rPr>
        <w:t xml:space="preserve">После определения итогового количества баллов участнику конкурса присваивается порядковый номер от номера 1, набравшего максимальное количество баллов, до номера, набравшего минимальное количество баллов, в порядке убывания с указанием количества набранных баллов в разрезе каждого члена конкурсной комиссии и каждого критерия оценки.</w:t>
      </w:r>
    </w:p>
    <w:p>
      <w:pPr>
        <w:pStyle w:val="0"/>
        <w:spacing w:before="240"/>
        <w:ind w:firstLine="540"/>
        <w:jc w:val="both"/>
      </w:pPr>
      <w:r>
        <w:rPr>
          <w:sz w:val="24"/>
        </w:rPr>
        <w:t xml:space="preserve">Подсчет итоговых баллов, присвоение порядкового номера каждому участнику конкурса осуществляется секретарем конкурсной комиссии. Контроль за результатом подсчета итоговых баллов и присвоением порядковых номеров участникам конкурса осуществляет председатель конкурсной комиссии.</w:t>
      </w:r>
    </w:p>
    <w:p>
      <w:pPr>
        <w:pStyle w:val="0"/>
        <w:spacing w:before="240"/>
        <w:ind w:firstLine="540"/>
        <w:jc w:val="both"/>
      </w:pPr>
      <w:r>
        <w:rPr>
          <w:sz w:val="24"/>
        </w:rPr>
        <w:t xml:space="preserve">2.20. Получателями грантов признаются три участника конкурса, которые набрали в сумме наибольшее количество баллов (победители конкурса).</w:t>
      </w:r>
    </w:p>
    <w:p>
      <w:pPr>
        <w:pStyle w:val="0"/>
        <w:spacing w:before="240"/>
        <w:ind w:firstLine="540"/>
        <w:jc w:val="both"/>
      </w:pPr>
      <w:r>
        <w:rPr>
          <w:sz w:val="24"/>
        </w:rPr>
        <w:t xml:space="preserve">В случае если участников конкурса, набравших в сумме одинаковое наибольшее количество баллов, несколько, получателями грантов признаются участники конкурса в порядке очередности поступления их заявок.</w:t>
      </w:r>
    </w:p>
    <w:p>
      <w:pPr>
        <w:pStyle w:val="0"/>
        <w:spacing w:before="240"/>
        <w:ind w:firstLine="540"/>
        <w:jc w:val="both"/>
      </w:pPr>
      <w:r>
        <w:rPr>
          <w:sz w:val="24"/>
        </w:rPr>
        <w:t xml:space="preserve">2.21. Размер гранта победителя конкурса определяется в зависимости от занятого призового места и составляет в процентном отношении к общему объему лимитов бюджетных обязательств на текущий финансовый год:</w:t>
      </w:r>
    </w:p>
    <w:p>
      <w:pPr>
        <w:pStyle w:val="0"/>
        <w:spacing w:before="240"/>
        <w:ind w:firstLine="540"/>
        <w:jc w:val="both"/>
      </w:pPr>
      <w:r>
        <w:rPr>
          <w:sz w:val="24"/>
        </w:rPr>
        <w:t xml:space="preserve">- за I место - 40%;</w:t>
      </w:r>
    </w:p>
    <w:p>
      <w:pPr>
        <w:pStyle w:val="0"/>
        <w:spacing w:before="240"/>
        <w:ind w:firstLine="540"/>
        <w:jc w:val="both"/>
      </w:pPr>
      <w:r>
        <w:rPr>
          <w:sz w:val="24"/>
        </w:rPr>
        <w:t xml:space="preserve">- за II место - 35%;</w:t>
      </w:r>
    </w:p>
    <w:p>
      <w:pPr>
        <w:pStyle w:val="0"/>
        <w:spacing w:before="240"/>
        <w:ind w:firstLine="540"/>
        <w:jc w:val="both"/>
      </w:pPr>
      <w:r>
        <w:rPr>
          <w:sz w:val="24"/>
        </w:rPr>
        <w:t xml:space="preserve">- за III место - 25%.</w:t>
      </w:r>
    </w:p>
    <w:p>
      <w:pPr>
        <w:pStyle w:val="0"/>
        <w:spacing w:before="240"/>
        <w:ind w:firstLine="540"/>
        <w:jc w:val="both"/>
      </w:pPr>
      <w:r>
        <w:rPr>
          <w:sz w:val="24"/>
        </w:rPr>
        <w:t xml:space="preserve">2.22. Решение конкурсной комиссии оформляется протоколом на бумажном носителе, который подписывают председатель конкурсной комиссии, члены конкурсной комиссии и секретарь конкурсной комиссии в день проведения заседания конкурсной комиссии.</w:t>
      </w:r>
    </w:p>
    <w:p>
      <w:pPr>
        <w:pStyle w:val="0"/>
        <w:spacing w:before="240"/>
        <w:ind w:firstLine="540"/>
        <w:jc w:val="both"/>
      </w:pPr>
      <w:r>
        <w:rPr>
          <w:sz w:val="24"/>
        </w:rPr>
        <w:t xml:space="preserve">В протокол заседания конкурсной комиссии вносятся сведения о количестве баллов в разрезе каждого члена конкурсной комиссии и об итоговой сумме баллов, набранных каждым участником конкурса, результаты определения победителя (победителей) конкурса. Формирование протокола заседания конкурсной комиссии осуществляется секретарем конкурсной комиссии и контролируется председателем конкурсной комиссии.</w:t>
      </w:r>
    </w:p>
    <w:p>
      <w:pPr>
        <w:pStyle w:val="0"/>
        <w:jc w:val="both"/>
      </w:pPr>
      <w:r>
        <w:rPr>
          <w:sz w:val="24"/>
        </w:rPr>
        <w:t xml:space="preserve">(в ред. </w:t>
      </w:r>
      <w:r>
        <w:rPr>
          <w:sz w:val="24"/>
        </w:rPr>
        <w:t xml:space="preserve">постановления</w:t>
      </w:r>
      <w:r>
        <w:rPr>
          <w:sz w:val="24"/>
        </w:rPr>
        <w:t xml:space="preserve"> Администрации города Нижневартовска от 17.06.2026 N 523)</w:t>
      </w:r>
    </w:p>
    <w:p>
      <w:pPr>
        <w:pStyle w:val="0"/>
        <w:spacing w:before="240"/>
        <w:ind w:firstLine="540"/>
        <w:jc w:val="both"/>
      </w:pPr>
      <w:r>
        <w:rPr>
          <w:sz w:val="24"/>
        </w:rPr>
        <w:t xml:space="preserve">На едином портале на основании результатов определения победителя (победителей) конкурса автоматически формируется протокол подведения итогов конкурса, который подписывается усиленной квалифицированной электронной подписью председателя конкурсной комиссии в день заседания конкурсной комиссии и размещается на едином портале не позднее первого рабочего дня, следующего за днем его подписания.</w:t>
      </w:r>
    </w:p>
    <w:p>
      <w:pPr>
        <w:pStyle w:val="0"/>
        <w:spacing w:before="240"/>
        <w:ind w:firstLine="540"/>
        <w:jc w:val="both"/>
      </w:pPr>
      <w:r>
        <w:rPr>
          <w:sz w:val="24"/>
        </w:rPr>
        <w:t xml:space="preserve">Внесение изменений в протокол подведения итогов конкурса осуществляется Уполномоченным органом не позднее 10 календарных дней со дня подписания первой версии протокола подведения итогов конкурса путем формирования новой версии указанного протокола с указанием причин внесения изменений.</w:t>
      </w:r>
    </w:p>
    <w:p>
      <w:pPr>
        <w:pStyle w:val="0"/>
        <w:spacing w:before="240"/>
        <w:ind w:firstLine="540"/>
        <w:jc w:val="both"/>
      </w:pPr>
      <w:r>
        <w:rPr>
          <w:sz w:val="24"/>
        </w:rPr>
        <w:t xml:space="preserve">В течение 3 рабочих дней, следующих за днем подписания протокола подведения итогов конкурса, Уполномоченный орган направляет уведомления участникам конкурса в письменной форме на адреса электронной почты, указанные в заявках (при отклонении заявок - с указанием оснований для отклонения заявок; при отказе в предоставлении гранта - с указанием оснований для отказа в предоставлении гранта; при предоставлении гранта - с указанием способа подписания Соглашения, а также места подписания Соглашения в случае его подписания на бумажном носителе).</w:t>
      </w:r>
    </w:p>
    <w:p>
      <w:pPr>
        <w:pStyle w:val="0"/>
        <w:jc w:val="both"/>
      </w:pPr>
      <w:r>
        <w:rPr>
          <w:sz w:val="24"/>
        </w:rPr>
        <w:t xml:space="preserve">(в ред. </w:t>
      </w:r>
      <w:r>
        <w:rPr>
          <w:sz w:val="24"/>
        </w:rPr>
        <w:t xml:space="preserve">постановления</w:t>
      </w:r>
      <w:r>
        <w:rPr>
          <w:sz w:val="24"/>
        </w:rPr>
        <w:t xml:space="preserve"> Администрации города Нижневартовска от 17.06.2026 N 523)</w:t>
      </w:r>
    </w:p>
    <w:p>
      <w:pPr>
        <w:pStyle w:val="0"/>
        <w:spacing w:before="240"/>
        <w:ind w:firstLine="540"/>
        <w:jc w:val="both"/>
      </w:pPr>
      <w:r>
        <w:rPr>
          <w:sz w:val="24"/>
        </w:rPr>
        <w:t xml:space="preserve">2.23. Уполномоченный орган не позднее четырнадцатого календарного дня со дня подписания протокола подведения итогов конкурса размещает на едином портале и на официальном сайте протокол подведения итогов конкурса, включающий следующие сведения:</w:t>
      </w:r>
    </w:p>
    <w:p>
      <w:pPr>
        <w:pStyle w:val="0"/>
        <w:spacing w:before="240"/>
        <w:ind w:firstLine="540"/>
        <w:jc w:val="both"/>
      </w:pPr>
      <w:r>
        <w:rPr>
          <w:sz w:val="24"/>
        </w:rPr>
        <w:t xml:space="preserve">- дата, время и место рассмотрения заявок;</w:t>
      </w:r>
    </w:p>
    <w:p>
      <w:pPr>
        <w:pStyle w:val="0"/>
        <w:spacing w:before="240"/>
        <w:ind w:firstLine="540"/>
        <w:jc w:val="both"/>
      </w:pPr>
      <w:r>
        <w:rPr>
          <w:sz w:val="24"/>
        </w:rPr>
        <w:t xml:space="preserve">- дата, время и место оценки заявок;</w:t>
      </w:r>
    </w:p>
    <w:p>
      <w:pPr>
        <w:pStyle w:val="0"/>
        <w:spacing w:before="240"/>
        <w:ind w:firstLine="540"/>
        <w:jc w:val="both"/>
      </w:pPr>
      <w:r>
        <w:rPr>
          <w:sz w:val="24"/>
        </w:rPr>
        <w:t xml:space="preserve">- информация об участниках конкурса, заявки которых были рассмотрены;</w:t>
      </w:r>
    </w:p>
    <w:p>
      <w:pPr>
        <w:pStyle w:val="0"/>
        <w:spacing w:before="240"/>
        <w:ind w:firstLine="540"/>
        <w:jc w:val="both"/>
      </w:pPr>
      <w:r>
        <w:rPr>
          <w:sz w:val="24"/>
        </w:rPr>
        <w:t xml:space="preserve">- информация об участниках конкурса, заявки которых были отклонены, с указанием оснований для отклонения заявок, в том числе положений объявления о проведении конкурса, которым не соответствуют такие заявки;</w:t>
      </w:r>
    </w:p>
    <w:p>
      <w:pPr>
        <w:pStyle w:val="0"/>
        <w:spacing w:before="240"/>
        <w:ind w:firstLine="540"/>
        <w:jc w:val="both"/>
      </w:pPr>
      <w:r>
        <w:rPr>
          <w:sz w:val="24"/>
        </w:rPr>
        <w:t xml:space="preserve">- последовательность оценки заявок, присвоенные заявкам значения по каждому из предусмотренных критериев оценки, показателей критериев оценки, принятое на основании результатов оценки заявок решение о присвоении участникам конкурса порядковых номеров;</w:t>
      </w:r>
    </w:p>
    <w:p>
      <w:pPr>
        <w:pStyle w:val="0"/>
        <w:spacing w:before="240"/>
        <w:ind w:firstLine="540"/>
        <w:jc w:val="both"/>
      </w:pPr>
      <w:r>
        <w:rPr>
          <w:sz w:val="24"/>
        </w:rPr>
        <w:t xml:space="preserve">- наименования получателей грантов, с которыми заключаются Соглашения, размер предоставляемых им грантов;</w:t>
      </w:r>
    </w:p>
    <w:p>
      <w:pPr>
        <w:pStyle w:val="0"/>
        <w:spacing w:before="240"/>
        <w:ind w:firstLine="540"/>
        <w:jc w:val="both"/>
      </w:pPr>
      <w:r>
        <w:rPr>
          <w:sz w:val="24"/>
        </w:rPr>
        <w:t xml:space="preserve">- итоговая сумма набранных баллов каждым участником конкурса в разрезе каждого критерия оценки.</w:t>
      </w:r>
    </w:p>
    <w:p>
      <w:pPr>
        <w:pStyle w:val="0"/>
        <w:spacing w:before="240"/>
        <w:ind w:firstLine="540"/>
        <w:jc w:val="both"/>
      </w:pPr>
      <w:r>
        <w:rPr>
          <w:sz w:val="24"/>
        </w:rPr>
        <w:t xml:space="preserve">2.24. В случае если в установленные сроки не подано ни одной заявки, конкурс считается несостоявшимся и отменяется, что оформляется распоряжением администрации города.</w:t>
      </w:r>
    </w:p>
    <w:p>
      <w:pPr>
        <w:pStyle w:val="0"/>
        <w:spacing w:before="240"/>
        <w:ind w:firstLine="540"/>
        <w:jc w:val="both"/>
      </w:pPr>
      <w:r>
        <w:rPr>
          <w:sz w:val="24"/>
        </w:rPr>
        <w:t xml:space="preserve">2.25. Решение о предоставлении грантов оформляется распоряжением администрации города об итогах конкурса (далее - Распоряжение об итогах конкурса) в течение 8 рабочих дней после подписания протокола подведения итогов конкурса.</w:t>
      </w:r>
    </w:p>
    <w:bookmarkStart w:id="194" w:name="P194"/>
    <w:bookmarkEnd w:id="194"/>
    <w:p>
      <w:pPr>
        <w:pStyle w:val="0"/>
        <w:spacing w:before="240"/>
        <w:ind w:firstLine="540"/>
        <w:jc w:val="both"/>
      </w:pPr>
      <w:r>
        <w:rPr>
          <w:sz w:val="24"/>
        </w:rPr>
        <w:t xml:space="preserve">2.26. Уполномоченный орган не позднее 1 рабочего дня со дня подписания Распоряжения об итогах конкурса уведомляет электронными письмами на адреса электронной почты, указанные в заявках, участников конкурса, признанных получателями грантов, об итогах конкурса и необходимости представления в Уполномоченный орган перечня затрат, направляемых на реализацию проекта (программы), источником финансового обеспечения которых является грант, уточненной информационной карты проекта (программы) с указанием уточненных срока реализации проекта (программы) и количественных значений результатов реализации проекта (программы), необходимых для достижения результата предоставления гранта, предусмотренного </w:t>
      </w:r>
      <w:hyperlink w:tooltip="3.17. Результатом предоставления гранта является реализация получателем гранта проекта (программы) в сроки, установленные проектом (программой)." w:anchor="P262" w:history="0">
        <w:r>
          <w:rPr>
            <w:color w:val="0000ff"/>
            <w:sz w:val="24"/>
          </w:rPr>
          <w:t xml:space="preserve">пунктом 3.17</w:t>
        </w:r>
      </w:hyperlink>
      <w:r>
        <w:rPr>
          <w:sz w:val="24"/>
        </w:rPr>
        <w:t xml:space="preserve"> Порядка (без изменения иных требований к проекту (программе)), уточненного плана мероприятий по достижению количественных значений результатов реализации проекта (программы).</w:t>
      </w:r>
    </w:p>
    <w:bookmarkStart w:id="195" w:name="P195"/>
    <w:bookmarkEnd w:id="195"/>
    <w:p>
      <w:pPr>
        <w:pStyle w:val="0"/>
        <w:spacing w:before="240"/>
        <w:ind w:firstLine="540"/>
        <w:jc w:val="both"/>
      </w:pPr>
      <w:r>
        <w:rPr>
          <w:sz w:val="24"/>
        </w:rPr>
        <w:t xml:space="preserve">2.27. Участники конкурса, признанные получателями грантов, в течение 2 рабочих дней со дня получения уведомления об итогах конкурса согласно </w:t>
      </w:r>
      <w:hyperlink w:tooltip="2.26. Уполномоченный орган не позднее 1 рабочего дня со дня подписания Распоряжения об итогах конкурса уведомляет электронными письмами на адреса электронной почты, указанные в заявках, участников конкурса, признанных получателями грантов, об итогах конкурса и необходимости представления в Уполномоченный орган перечня затрат, направляемых на реализацию проекта (программы), источником финансового обеспечения которых является грант, уточненной информационной карты проекта (программы) с указанием уточненных..." w:anchor="P194" w:history="0">
        <w:r>
          <w:rPr>
            <w:color w:val="0000ff"/>
            <w:sz w:val="24"/>
          </w:rPr>
          <w:t xml:space="preserve">пункту 2.26</w:t>
        </w:r>
      </w:hyperlink>
      <w:r>
        <w:rPr>
          <w:sz w:val="24"/>
        </w:rPr>
        <w:t xml:space="preserve"> Порядка направляют в Уполномоченный орган следующие документы:</w:t>
      </w:r>
    </w:p>
    <w:p>
      <w:pPr>
        <w:pStyle w:val="0"/>
        <w:spacing w:before="240"/>
        <w:ind w:firstLine="540"/>
        <w:jc w:val="both"/>
      </w:pPr>
      <w:r>
        <w:rPr>
          <w:sz w:val="24"/>
        </w:rPr>
        <w:t xml:space="preserve">- перечень затрат, направляемых на реализацию проекта (программы), источником финансового обеспечения которых является грант;</w:t>
      </w:r>
    </w:p>
    <w:p>
      <w:pPr>
        <w:pStyle w:val="0"/>
        <w:spacing w:before="240"/>
        <w:ind w:firstLine="540"/>
        <w:jc w:val="both"/>
      </w:pPr>
      <w:r>
        <w:rPr>
          <w:sz w:val="24"/>
        </w:rPr>
        <w:t xml:space="preserve">- уточненную информационную карту проекта (программы) с указанием уточненных срока реализации проекта (программы) и количественных значений результатов реализации проекта (программы), необходимых для достижения результата предоставления гранта, предусмотренного </w:t>
      </w:r>
      <w:hyperlink w:tooltip="3.17. Результатом предоставления гранта является реализация получателем гранта проекта (программы) в сроки, установленные проектом (программой)." w:anchor="P262" w:history="0">
        <w:r>
          <w:rPr>
            <w:color w:val="0000ff"/>
            <w:sz w:val="24"/>
          </w:rPr>
          <w:t xml:space="preserve">пунктом 3.17</w:t>
        </w:r>
      </w:hyperlink>
      <w:r>
        <w:rPr>
          <w:sz w:val="24"/>
        </w:rPr>
        <w:t xml:space="preserve"> Порядка (без изменения иных требований к проекту (программе));</w:t>
      </w:r>
    </w:p>
    <w:p>
      <w:pPr>
        <w:pStyle w:val="0"/>
        <w:spacing w:before="240"/>
        <w:ind w:firstLine="540"/>
        <w:jc w:val="both"/>
      </w:pPr>
      <w:r>
        <w:rPr>
          <w:sz w:val="24"/>
        </w:rPr>
        <w:t xml:space="preserve">- уточненный план мероприятий по достижению количественных значений результатов реализации проекта (программы).</w:t>
      </w:r>
    </w:p>
    <w:p>
      <w:pPr>
        <w:pStyle w:val="0"/>
        <w:spacing w:before="240"/>
        <w:ind w:firstLine="540"/>
        <w:jc w:val="both"/>
      </w:pPr>
      <w:r>
        <w:rPr>
          <w:sz w:val="24"/>
        </w:rPr>
        <w:t xml:space="preserve">2.28. При непредставлении документов, указанных в </w:t>
      </w:r>
      <w:hyperlink w:tooltip="2.27. Участники конкурса, признанные получателями грантов, в течение 2 рабочих дней со дня получения уведомления об итогах конкурса согласно пункту 2.26 Порядка направляют в Уполномоченный орган следующие документы:" w:anchor="P195" w:history="0">
        <w:r>
          <w:rPr>
            <w:color w:val="0000ff"/>
            <w:sz w:val="24"/>
          </w:rPr>
          <w:t xml:space="preserve">пункте 2.27</w:t>
        </w:r>
      </w:hyperlink>
      <w:r>
        <w:rPr>
          <w:sz w:val="24"/>
        </w:rPr>
        <w:t xml:space="preserve"> Порядка, в установленные сроки участники конкурса, признанные получателями грантов, признаются уклонившимися от заключения Соглашений.</w:t>
      </w:r>
    </w:p>
    <w:p>
      <w:pPr>
        <w:pStyle w:val="0"/>
        <w:jc w:val="center"/>
      </w:pPr>
      <w:r>
        <w:rPr>
          <w:sz w:val="24"/>
        </w:rPr>
      </w:r>
    </w:p>
    <w:p>
      <w:pPr>
        <w:pStyle w:val="2"/>
        <w:jc w:val="center"/>
        <w:outlineLvl w:val="1"/>
      </w:pPr>
      <w:r>
        <w:rPr>
          <w:sz w:val="24"/>
        </w:rPr>
        <w:t xml:space="preserve">III. Условия и порядок предоставления гранта</w:t>
      </w:r>
    </w:p>
    <w:p>
      <w:pPr>
        <w:pStyle w:val="0"/>
        <w:jc w:val="center"/>
      </w:pPr>
      <w:r>
        <w:rPr>
          <w:sz w:val="24"/>
        </w:rPr>
      </w:r>
    </w:p>
    <w:p>
      <w:pPr>
        <w:pStyle w:val="0"/>
        <w:ind w:firstLine="540"/>
        <w:jc w:val="both"/>
      </w:pPr>
      <w:r>
        <w:rPr>
          <w:sz w:val="24"/>
        </w:rPr>
        <w:t xml:space="preserve">3.1. Основания для отказа в предоставлении гранта:</w:t>
      </w:r>
    </w:p>
    <w:bookmarkStart w:id="204" w:name="P204"/>
    <w:bookmarkEnd w:id="204"/>
    <w:p>
      <w:pPr>
        <w:pStyle w:val="0"/>
        <w:spacing w:before="240"/>
        <w:ind w:firstLine="540"/>
        <w:jc w:val="both"/>
      </w:pPr>
      <w:r>
        <w:rPr>
          <w:sz w:val="24"/>
        </w:rPr>
        <w:t xml:space="preserve">- несоответствие представленных получателем гранта документов требованиям, определенным Порядком, или непредставление (представление не в полном объеме) указанных документов;</w:t>
      </w:r>
    </w:p>
    <w:bookmarkStart w:id="205" w:name="P205"/>
    <w:bookmarkEnd w:id="205"/>
    <w:p>
      <w:pPr>
        <w:pStyle w:val="0"/>
        <w:spacing w:before="240"/>
        <w:ind w:firstLine="540"/>
        <w:jc w:val="both"/>
      </w:pPr>
      <w:r>
        <w:rPr>
          <w:sz w:val="24"/>
        </w:rPr>
        <w:t xml:space="preserve">- установление факта недостоверности представленной получателем гранта информации;</w:t>
      </w:r>
    </w:p>
    <w:p>
      <w:pPr>
        <w:pStyle w:val="0"/>
        <w:spacing w:before="240"/>
        <w:ind w:firstLine="540"/>
        <w:jc w:val="both"/>
      </w:pPr>
      <w:r>
        <w:rPr>
          <w:sz w:val="24"/>
        </w:rPr>
        <w:t xml:space="preserve">- несоответствие получателя гранта требованиям, установленным </w:t>
      </w:r>
      <w:hyperlink w:tooltip="2.2. Участник конкурса на даты рассмотрения заявки и заключения Соглашения должен соответствовать следующим требованиям:" w:anchor="P86" w:history="0">
        <w:r>
          <w:rPr>
            <w:color w:val="0000ff"/>
            <w:sz w:val="24"/>
          </w:rPr>
          <w:t xml:space="preserve">пунктом 2.2</w:t>
        </w:r>
      </w:hyperlink>
      <w:r>
        <w:rPr>
          <w:sz w:val="24"/>
        </w:rPr>
        <w:t xml:space="preserve"> Порядка, на дату подписания Соглашения.</w:t>
      </w:r>
    </w:p>
    <w:p>
      <w:pPr>
        <w:pStyle w:val="0"/>
        <w:spacing w:before="240"/>
        <w:ind w:firstLine="540"/>
        <w:jc w:val="both"/>
      </w:pPr>
      <w:r>
        <w:rPr>
          <w:sz w:val="24"/>
        </w:rPr>
        <w:t xml:space="preserve">3.2. Гранты предоставляются на основании протокола подведения итогов конкурса, Распоряжения об итогах конкурса, Соглашений, заключенных между администрацией города и получателями грантов в соответствии с типовой формой, утвержденной приказом департамента финансов администрации города (далее - Типовая форма).</w:t>
      </w:r>
    </w:p>
    <w:p>
      <w:pPr>
        <w:pStyle w:val="0"/>
        <w:spacing w:before="240"/>
        <w:ind w:firstLine="540"/>
        <w:jc w:val="both"/>
      </w:pPr>
      <w:r>
        <w:rPr>
          <w:sz w:val="24"/>
        </w:rPr>
        <w:t xml:space="preserve">3.3. В течение 7 рабочих дней со дня подписания Распоряжения об итогах конкурса Уполномоченный орган направляет:</w:t>
      </w:r>
    </w:p>
    <w:bookmarkStart w:id="209" w:name="P209"/>
    <w:bookmarkEnd w:id="209"/>
    <w:p>
      <w:pPr>
        <w:pStyle w:val="0"/>
        <w:spacing w:before="240"/>
        <w:ind w:firstLine="540"/>
        <w:jc w:val="both"/>
      </w:pPr>
      <w:r>
        <w:rPr>
          <w:sz w:val="24"/>
        </w:rPr>
        <w:t xml:space="preserve">3.3.1. В управление муниципальных закупок администрации города (далее - Управление) для заключения Соглашения:</w:t>
      </w:r>
    </w:p>
    <w:p>
      <w:pPr>
        <w:pStyle w:val="0"/>
        <w:spacing w:before="240"/>
        <w:ind w:firstLine="540"/>
        <w:jc w:val="both"/>
      </w:pPr>
      <w:r>
        <w:rPr>
          <w:sz w:val="24"/>
        </w:rPr>
        <w:t xml:space="preserve">- протокол подведения итогов конкурса;</w:t>
      </w:r>
    </w:p>
    <w:p>
      <w:pPr>
        <w:pStyle w:val="0"/>
        <w:spacing w:before="240"/>
        <w:ind w:firstLine="540"/>
        <w:jc w:val="both"/>
      </w:pPr>
      <w:r>
        <w:rPr>
          <w:sz w:val="24"/>
        </w:rPr>
        <w:t xml:space="preserve">- копию Распоряжения об итогах конкурса;</w:t>
      </w:r>
    </w:p>
    <w:p>
      <w:pPr>
        <w:pStyle w:val="0"/>
        <w:spacing w:before="240"/>
        <w:ind w:firstLine="540"/>
        <w:jc w:val="both"/>
      </w:pPr>
      <w:r>
        <w:rPr>
          <w:sz w:val="24"/>
        </w:rPr>
        <w:t xml:space="preserve">- перечень затрат, направляемых на реализацию проекта (программы), источником финансового обеспечения которых является грант;</w:t>
      </w:r>
    </w:p>
    <w:p>
      <w:pPr>
        <w:pStyle w:val="0"/>
        <w:spacing w:before="240"/>
        <w:ind w:firstLine="540"/>
        <w:jc w:val="both"/>
      </w:pPr>
      <w:r>
        <w:rPr>
          <w:sz w:val="24"/>
        </w:rPr>
        <w:t xml:space="preserve">- уточненную информационную карту проекта (программы) с указанием уточненных срока реализации проекта (программы) и количественных значений результатов реализации проекта (программы), необходимых для достижения результата предоставления гранта, предусмотренного </w:t>
      </w:r>
      <w:hyperlink w:tooltip="3.17. Результатом предоставления гранта является реализация получателем гранта проекта (программы) в сроки, установленные проектом (программой)." w:anchor="P262" w:history="0">
        <w:r>
          <w:rPr>
            <w:color w:val="0000ff"/>
            <w:sz w:val="24"/>
          </w:rPr>
          <w:t xml:space="preserve">пунктом 3.17</w:t>
        </w:r>
      </w:hyperlink>
      <w:r>
        <w:rPr>
          <w:sz w:val="24"/>
        </w:rPr>
        <w:t xml:space="preserve"> Порядка;</w:t>
      </w:r>
    </w:p>
    <w:p>
      <w:pPr>
        <w:pStyle w:val="0"/>
        <w:spacing w:before="240"/>
        <w:ind w:firstLine="540"/>
        <w:jc w:val="both"/>
      </w:pPr>
      <w:r>
        <w:rPr>
          <w:sz w:val="24"/>
        </w:rPr>
        <w:t xml:space="preserve">- уточненный план мероприятий по достижению количественных значений результатов реализации проекта (программы).</w:t>
      </w:r>
    </w:p>
    <w:p>
      <w:pPr>
        <w:pStyle w:val="0"/>
        <w:spacing w:before="240"/>
        <w:ind w:firstLine="540"/>
        <w:jc w:val="both"/>
      </w:pPr>
      <w:r>
        <w:rPr>
          <w:sz w:val="24"/>
        </w:rPr>
        <w:t xml:space="preserve">3.3.2. В управление бухгалтерского учета и отчетности администрации города протокол подведения итогов конкурса и копию Распоряжения об итогах конкурса.</w:t>
      </w:r>
    </w:p>
    <w:p>
      <w:pPr>
        <w:pStyle w:val="0"/>
        <w:spacing w:before="240"/>
        <w:ind w:firstLine="540"/>
        <w:jc w:val="both"/>
      </w:pPr>
      <w:r>
        <w:rPr>
          <w:sz w:val="24"/>
        </w:rPr>
        <w:t xml:space="preserve">3.4. Управление в течение 5 рабочих дней со дня получения документов, предусмотренных </w:t>
      </w:r>
      <w:hyperlink w:tooltip="3.3.1. В управление муниципальных закупок администрации города (далее - Управление) для заключения Соглашения:" w:anchor="P209" w:history="0">
        <w:r>
          <w:rPr>
            <w:color w:val="0000ff"/>
            <w:sz w:val="24"/>
          </w:rPr>
          <w:t xml:space="preserve">подпунктом 3.3.1 пункта 3.3</w:t>
        </w:r>
      </w:hyperlink>
      <w:r>
        <w:rPr>
          <w:sz w:val="24"/>
        </w:rPr>
        <w:t xml:space="preserve"> Порядка, обеспечивает подписание Соглашения в форме электронного документа в государственной информационной системе Ханты-Мансийского автономного округа - Югры "Региональный электронный бюджет Югры" (далее - ГИС "Региональный электронный бюджет Югры").</w:t>
      </w:r>
    </w:p>
    <w:p>
      <w:pPr>
        <w:pStyle w:val="0"/>
        <w:spacing w:before="240"/>
        <w:ind w:firstLine="540"/>
        <w:jc w:val="both"/>
      </w:pPr>
      <w:r>
        <w:rPr>
          <w:sz w:val="24"/>
        </w:rPr>
        <w:t xml:space="preserve">3.5. С целью проведения Уполномоченным органом проверки получателя гранта на соответствие его требованиям, установленным </w:t>
      </w:r>
      <w:hyperlink w:tooltip="2.2. Участник конкурса на даты рассмотрения заявки и заключения Соглашения должен соответствовать следующим требованиям:" w:anchor="P86" w:history="0">
        <w:r>
          <w:rPr>
            <w:color w:val="0000ff"/>
            <w:sz w:val="24"/>
          </w:rPr>
          <w:t xml:space="preserve">пунктом 2.2</w:t>
        </w:r>
      </w:hyperlink>
      <w:r>
        <w:rPr>
          <w:sz w:val="24"/>
        </w:rPr>
        <w:t xml:space="preserve"> Порядка, на дату заключения Соглашения Управление уведомляет Уполномоченный орган о дате заключения Соглашения.</w:t>
      </w:r>
    </w:p>
    <w:p>
      <w:pPr>
        <w:pStyle w:val="0"/>
        <w:spacing w:before="240"/>
        <w:ind w:firstLine="540"/>
        <w:jc w:val="both"/>
      </w:pPr>
      <w:r>
        <w:rPr>
          <w:sz w:val="24"/>
        </w:rPr>
        <w:t xml:space="preserve">Уполномоченный орган осуществляет проверку получателя гранта на соответствие его требованиям, установленным </w:t>
      </w:r>
      <w:hyperlink w:tooltip="2.2. Участник конкурса на даты рассмотрения заявки и заключения Соглашения должен соответствовать следующим требованиям:" w:anchor="P86" w:history="0">
        <w:r>
          <w:rPr>
            <w:color w:val="0000ff"/>
            <w:sz w:val="24"/>
          </w:rPr>
          <w:t xml:space="preserve">пунктом 2.2</w:t>
        </w:r>
      </w:hyperlink>
      <w:r>
        <w:rPr>
          <w:sz w:val="24"/>
        </w:rPr>
        <w:t xml:space="preserve"> Порядка, на дату заключения Соглашения и готовит соответствующее заключение о соответствии либо несоответствии получателя гранта указанным требованиям.</w:t>
      </w:r>
    </w:p>
    <w:p>
      <w:pPr>
        <w:pStyle w:val="0"/>
        <w:spacing w:before="240"/>
        <w:ind w:firstLine="540"/>
        <w:jc w:val="both"/>
      </w:pPr>
      <w:r>
        <w:rPr>
          <w:sz w:val="24"/>
        </w:rPr>
        <w:t xml:space="preserve">В случае соответствия получателя гранта на дату заключения Соглашения требованиям, установленным </w:t>
      </w:r>
      <w:hyperlink w:tooltip="2.2. Участник конкурса на даты рассмотрения заявки и заключения Соглашения должен соответствовать следующим требованиям:" w:anchor="P86" w:history="0">
        <w:r>
          <w:rPr>
            <w:color w:val="0000ff"/>
            <w:sz w:val="24"/>
          </w:rPr>
          <w:t xml:space="preserve">пунктом 2.2</w:t>
        </w:r>
      </w:hyperlink>
      <w:r>
        <w:rPr>
          <w:sz w:val="24"/>
        </w:rPr>
        <w:t xml:space="preserve"> Порядка, Уполномоченный орган в день вынесения заключения уведомляет Управление и получателя гранта посредством электронной почты, адрес которой указан в заявке, о наличии принятого заключения о его соответствии требованиям, установленным </w:t>
      </w:r>
      <w:hyperlink w:tooltip="2.2. Участник конкурса на даты рассмотрения заявки и заключения Соглашения должен соответствовать следующим требованиям:" w:anchor="P86" w:history="0">
        <w:r>
          <w:rPr>
            <w:color w:val="0000ff"/>
            <w:sz w:val="24"/>
          </w:rPr>
          <w:t xml:space="preserve">пунктом 2.2</w:t>
        </w:r>
      </w:hyperlink>
      <w:r>
        <w:rPr>
          <w:sz w:val="24"/>
        </w:rPr>
        <w:t xml:space="preserve"> Порядка, на дату заключения Соглашения.</w:t>
      </w:r>
    </w:p>
    <w:p>
      <w:pPr>
        <w:pStyle w:val="0"/>
        <w:spacing w:before="240"/>
        <w:ind w:firstLine="540"/>
        <w:jc w:val="both"/>
      </w:pPr>
      <w:r>
        <w:rPr>
          <w:sz w:val="24"/>
        </w:rPr>
        <w:t xml:space="preserve">В случае несоответствия получателя гранта на дату заключения Соглашения требованиям, установленным </w:t>
      </w:r>
      <w:hyperlink w:tooltip="2.2. Участник конкурса на даты рассмотрения заявки и заключения Соглашения должен соответствовать следующим требованиям:" w:anchor="P86" w:history="0">
        <w:r>
          <w:rPr>
            <w:color w:val="0000ff"/>
            <w:sz w:val="24"/>
          </w:rPr>
          <w:t xml:space="preserve">пунктом 2.2</w:t>
        </w:r>
      </w:hyperlink>
      <w:r>
        <w:rPr>
          <w:sz w:val="24"/>
        </w:rPr>
        <w:t xml:space="preserve"> Порядка:</w:t>
      </w:r>
    </w:p>
    <w:p>
      <w:pPr>
        <w:pStyle w:val="0"/>
        <w:spacing w:before="240"/>
        <w:ind w:firstLine="540"/>
        <w:jc w:val="both"/>
      </w:pPr>
      <w:r>
        <w:rPr>
          <w:sz w:val="24"/>
        </w:rPr>
        <w:t xml:space="preserve">- Уполномоченный орган уведомляет Управление о данном факте;</w:t>
      </w:r>
    </w:p>
    <w:p>
      <w:pPr>
        <w:pStyle w:val="0"/>
        <w:spacing w:before="240"/>
        <w:ind w:firstLine="540"/>
        <w:jc w:val="both"/>
      </w:pPr>
      <w:r>
        <w:rPr>
          <w:sz w:val="24"/>
        </w:rPr>
        <w:t xml:space="preserve">- главный распорядитель бюджетных средств отказывается от заключения Соглашения с получателем гранта, о чем получатель гранта уведомляется в течение 3 рабочих дней посредством электронной почты, адрес которой указан в заявке.</w:t>
      </w:r>
    </w:p>
    <w:p>
      <w:pPr>
        <w:pStyle w:val="0"/>
        <w:spacing w:before="240"/>
        <w:ind w:firstLine="540"/>
        <w:jc w:val="both"/>
      </w:pPr>
      <w:r>
        <w:rPr>
          <w:sz w:val="24"/>
        </w:rPr>
        <w:t xml:space="preserve">В случае отказа главного распорядителя бюджетных средств от заключения Соглашения в Распоряжение об итогах конкурса вносятся соответствующие изменения.</w:t>
      </w:r>
    </w:p>
    <w:p>
      <w:pPr>
        <w:pStyle w:val="0"/>
        <w:spacing w:before="240"/>
        <w:ind w:firstLine="540"/>
        <w:jc w:val="both"/>
      </w:pPr>
      <w:r>
        <w:rPr>
          <w:sz w:val="24"/>
        </w:rPr>
        <w:t xml:space="preserve">3.6. Соглашение подписывается усиленными квалифицированными электронными подписями лиц, имеющих право действовать от имени каждой из сторон Соглашения.</w:t>
      </w:r>
    </w:p>
    <w:p>
      <w:pPr>
        <w:pStyle w:val="0"/>
        <w:spacing w:before="240"/>
        <w:ind w:firstLine="540"/>
        <w:jc w:val="both"/>
      </w:pPr>
      <w:r>
        <w:rPr>
          <w:sz w:val="24"/>
        </w:rPr>
        <w:t xml:space="preserve">Получатель гранта обеспечивает подписание Соглашения в ГИС "Региональный электронный бюджет Югры" в срок не позднее 1 рабочего дня со дня получения Соглашения в ГИС "Региональный электронный бюджет Югры" и направляет его в Управление.</w:t>
      </w:r>
    </w:p>
    <w:p>
      <w:pPr>
        <w:pStyle w:val="0"/>
        <w:spacing w:before="240"/>
        <w:ind w:firstLine="540"/>
        <w:jc w:val="both"/>
      </w:pPr>
      <w:r>
        <w:rPr>
          <w:sz w:val="24"/>
        </w:rPr>
        <w:t xml:space="preserve">3.7. Управление в течение 2 рабочих дней со дня получения подписанного Соглашения получателем гранта подписывает и регистрирует его в установленном порядке.</w:t>
      </w:r>
    </w:p>
    <w:p>
      <w:pPr>
        <w:pStyle w:val="0"/>
        <w:spacing w:before="240"/>
        <w:ind w:firstLine="540"/>
        <w:jc w:val="both"/>
      </w:pPr>
      <w:r>
        <w:rPr>
          <w:sz w:val="24"/>
        </w:rPr>
        <w:t xml:space="preserve">При отсутствии технической возможности формирования Соглашения в форме электронного документа и подписания усиленными квалифицированными электронными подписями лиц, имеющих право действовать от имени каждой из сторон Соглашения, в ГИС "Региональный электронный бюджет Югры" подписание Соглашения осуществляется на бумажном носителе. В этом случае подписание Соглашения получателем гранта осуществляется в срок не позднее 2 рабочих дней с даты получения Соглашения от Управления. Оригинал подписанного Соглашения получатель гранта представляет в Управление по адресу: город Нижневартовск, улица Таежная, 24.</w:t>
      </w:r>
    </w:p>
    <w:p>
      <w:pPr>
        <w:pStyle w:val="0"/>
        <w:spacing w:before="240"/>
        <w:ind w:firstLine="540"/>
        <w:jc w:val="both"/>
      </w:pPr>
      <w:r>
        <w:rPr>
          <w:sz w:val="24"/>
        </w:rPr>
        <w:t xml:space="preserve">Датой заключения Соглашения считается дата его подписания всеми сторонами Соглашения.</w:t>
      </w:r>
    </w:p>
    <w:p>
      <w:pPr>
        <w:pStyle w:val="0"/>
        <w:spacing w:before="240"/>
        <w:ind w:firstLine="540"/>
        <w:jc w:val="both"/>
      </w:pPr>
      <w:r>
        <w:rPr>
          <w:sz w:val="24"/>
        </w:rPr>
        <w:t xml:space="preserve">При неподписании в системе ГИС "Региональный электронный бюджет Югры" или при непредставлении на бумажном носителе получателем гранта в установленные настоящим пунктом сроки Соглашения получатель гранта считается уклонившимся от его заключения, и грант по результатам конкурса ему не предоставляется.</w:t>
      </w:r>
    </w:p>
    <w:p>
      <w:pPr>
        <w:pStyle w:val="0"/>
        <w:spacing w:before="240"/>
        <w:ind w:firstLine="540"/>
        <w:jc w:val="both"/>
      </w:pPr>
      <w:r>
        <w:rPr>
          <w:sz w:val="24"/>
        </w:rPr>
        <w:t xml:space="preserve">3.8. В случае уклонения получателя гранта от подписания Соглашения в Распоряжение об итогах конкурса вносятся соответствующие изменения.</w:t>
      </w:r>
    </w:p>
    <w:p>
      <w:pPr>
        <w:pStyle w:val="0"/>
        <w:spacing w:before="240"/>
        <w:ind w:firstLine="540"/>
        <w:jc w:val="both"/>
      </w:pPr>
      <w:r>
        <w:rPr>
          <w:sz w:val="24"/>
        </w:rPr>
        <w:t xml:space="preserve">3.9. В Соглашение включаются следующие условия:</w:t>
      </w:r>
    </w:p>
    <w:p>
      <w:pPr>
        <w:pStyle w:val="0"/>
        <w:spacing w:before="240"/>
        <w:ind w:firstLine="540"/>
        <w:jc w:val="both"/>
      </w:pPr>
      <w:r>
        <w:rPr>
          <w:sz w:val="24"/>
        </w:rPr>
        <w:t xml:space="preserve">- о согласовании новых условий Соглашения или о расторжении Соглашения при недостижении согласия по новым условиям в случае уменьшения главному распорядителю бюджетных средств ранее доведенных лимитов бюджетных обязательств на предоставление гранта, приводящего к невозможности предоставления гранта в размере, определенном Соглашением;</w:t>
      </w:r>
    </w:p>
    <w:p>
      <w:pPr>
        <w:pStyle w:val="0"/>
        <w:spacing w:before="240"/>
        <w:ind w:firstLine="540"/>
        <w:jc w:val="both"/>
      </w:pPr>
      <w:r>
        <w:rPr>
          <w:sz w:val="24"/>
        </w:rPr>
        <w:t xml:space="preserve">- о запрете приобретения получателями грантов, а также иными юридическими лицами, получающими средства на основании договоров (соглашений), заключенных с получателями грантов, за счет полученных из соответствующего бюджета бюджетной системы Российской Федерации средств иностранной валюты, за исключением операций, осуществляемых в соответствии с валютным законодательством Российской Федерации при закупке (поставке) высокотехнологичного импортного оборудования, сырья и комплектующих изделий, а также иных операций, связанных с достижением результатов предоставления этих средств, определенных правовым актом;</w:t>
      </w:r>
    </w:p>
    <w:p>
      <w:pPr>
        <w:pStyle w:val="0"/>
        <w:spacing w:before="240"/>
        <w:ind w:firstLine="540"/>
        <w:jc w:val="both"/>
      </w:pPr>
      <w:r>
        <w:rPr>
          <w:sz w:val="24"/>
        </w:rPr>
        <w:t xml:space="preserve">- о согласии получателя гранта, лиц, получающих средства на основании договоров (соглашений), заключенных с получателями грантов (за исключением государственных (муниципальных) унитарных предприятий, хозяйственных товариществ и обществ с участием публично-правовых образований в их уставных (складочных) капиталах, коммерческих организаций с участием таких товариществ и обществ в их уставных (складочных) капиталах), на осуществление в отношении них проверки главным распорядителем бюджетных средств соблюдения порядка и условий предоставления гранта, в том числе в части достижения результата предоставления гранта, а также проверки органами государственного (муниципального) финансового контроля в соответствии со </w:t>
      </w:r>
      <w:r>
        <w:rPr>
          <w:sz w:val="24"/>
        </w:rPr>
        <w:t xml:space="preserve">статьями 268.1</w:t>
      </w:r>
      <w:r>
        <w:rPr>
          <w:sz w:val="24"/>
        </w:rPr>
        <w:t xml:space="preserve"> и </w:t>
      </w:r>
      <w:r>
        <w:rPr>
          <w:sz w:val="24"/>
        </w:rPr>
        <w:t xml:space="preserve">269.2</w:t>
      </w:r>
      <w:r>
        <w:rPr>
          <w:sz w:val="24"/>
        </w:rPr>
        <w:t xml:space="preserve"> Бюджетного кодекса Российской Федерации;</w:t>
      </w:r>
    </w:p>
    <w:p>
      <w:pPr>
        <w:pStyle w:val="0"/>
        <w:spacing w:before="240"/>
        <w:ind w:firstLine="540"/>
        <w:jc w:val="both"/>
      </w:pPr>
      <w:r>
        <w:rPr>
          <w:sz w:val="24"/>
        </w:rPr>
        <w:t xml:space="preserve">- об обязанности получателя гранта по ведению обособленного аналитического учета операций, осуществляемых за счет гранта.</w:t>
      </w:r>
    </w:p>
    <w:p>
      <w:pPr>
        <w:pStyle w:val="0"/>
        <w:spacing w:before="240"/>
        <w:ind w:firstLine="540"/>
        <w:jc w:val="both"/>
      </w:pPr>
      <w:r>
        <w:rPr>
          <w:sz w:val="24"/>
        </w:rPr>
        <w:t xml:space="preserve">3.10. За счет предоставленного гранта получатель гранта при реализации проекта (программы) вправе осуществлять расходы по следующим направлениям:</w:t>
      </w:r>
    </w:p>
    <w:p>
      <w:pPr>
        <w:pStyle w:val="0"/>
        <w:spacing w:before="240"/>
        <w:ind w:firstLine="540"/>
        <w:jc w:val="both"/>
      </w:pPr>
      <w:r>
        <w:rPr>
          <w:sz w:val="24"/>
        </w:rPr>
        <w:t xml:space="preserve">- оплата труда специалистов, участвующих в реализации мероприятий проекта (программы);</w:t>
      </w:r>
    </w:p>
    <w:p>
      <w:pPr>
        <w:pStyle w:val="0"/>
        <w:spacing w:before="240"/>
        <w:ind w:firstLine="540"/>
        <w:jc w:val="both"/>
      </w:pPr>
      <w:r>
        <w:rPr>
          <w:sz w:val="24"/>
        </w:rPr>
        <w:t xml:space="preserve">- оплата товаров, работ, услуг;</w:t>
      </w:r>
    </w:p>
    <w:p>
      <w:pPr>
        <w:pStyle w:val="0"/>
        <w:spacing w:before="240"/>
        <w:ind w:firstLine="540"/>
        <w:jc w:val="both"/>
      </w:pPr>
      <w:r>
        <w:rPr>
          <w:sz w:val="24"/>
        </w:rPr>
        <w:t xml:space="preserve">- плата за аренду имущества для реализации мероприятий проекта (программы);</w:t>
      </w:r>
    </w:p>
    <w:p>
      <w:pPr>
        <w:pStyle w:val="0"/>
        <w:spacing w:before="240"/>
        <w:ind w:firstLine="540"/>
        <w:jc w:val="both"/>
      </w:pPr>
      <w:r>
        <w:rPr>
          <w:sz w:val="24"/>
        </w:rPr>
        <w:t xml:space="preserve">- уплата налогов, сборов, страховых взносов и иных обязательных платежей в бюджетную систему Российской Федерации.</w:t>
      </w:r>
    </w:p>
    <w:bookmarkStart w:id="241" w:name="P241"/>
    <w:bookmarkEnd w:id="241"/>
    <w:p>
      <w:pPr>
        <w:pStyle w:val="0"/>
        <w:spacing w:before="240"/>
        <w:ind w:firstLine="540"/>
        <w:jc w:val="both"/>
      </w:pPr>
      <w:r>
        <w:rPr>
          <w:sz w:val="24"/>
        </w:rPr>
        <w:t xml:space="preserve">3.11. За счет предоставленного гранта получателю гранта запрещается осуществлять следующие расходы:</w:t>
      </w:r>
    </w:p>
    <w:p>
      <w:pPr>
        <w:pStyle w:val="0"/>
        <w:spacing w:before="240"/>
        <w:ind w:firstLine="540"/>
        <w:jc w:val="both"/>
      </w:pPr>
      <w:r>
        <w:rPr>
          <w:sz w:val="24"/>
        </w:rPr>
        <w:t xml:space="preserve">- расходы, связанные с осуществлением предпринимательской деятельности и оказанием помощи коммерческим организациям;</w:t>
      </w:r>
    </w:p>
    <w:p>
      <w:pPr>
        <w:pStyle w:val="0"/>
        <w:spacing w:before="240"/>
        <w:ind w:firstLine="540"/>
        <w:jc w:val="both"/>
      </w:pPr>
      <w:r>
        <w:rPr>
          <w:sz w:val="24"/>
        </w:rPr>
        <w:t xml:space="preserve">- расходы, связанные с осуществлением деятельности, не связанной с реализацией проекта (программы);</w:t>
      </w:r>
    </w:p>
    <w:p>
      <w:pPr>
        <w:pStyle w:val="0"/>
        <w:spacing w:before="240"/>
        <w:ind w:firstLine="540"/>
        <w:jc w:val="both"/>
      </w:pPr>
      <w:r>
        <w:rPr>
          <w:sz w:val="24"/>
        </w:rPr>
        <w:t xml:space="preserve">- расходы на поддержку политических партий и кампаний;</w:t>
      </w:r>
    </w:p>
    <w:p>
      <w:pPr>
        <w:pStyle w:val="0"/>
        <w:spacing w:before="240"/>
        <w:ind w:firstLine="540"/>
        <w:jc w:val="both"/>
      </w:pPr>
      <w:r>
        <w:rPr>
          <w:sz w:val="24"/>
        </w:rPr>
        <w:t xml:space="preserve">- расходы на проведение митингов, демонстраций, шествий и пикетирований;</w:t>
      </w:r>
    </w:p>
    <w:p>
      <w:pPr>
        <w:pStyle w:val="0"/>
        <w:spacing w:before="240"/>
        <w:ind w:firstLine="540"/>
        <w:jc w:val="both"/>
      </w:pPr>
      <w:r>
        <w:rPr>
          <w:sz w:val="24"/>
        </w:rPr>
        <w:t xml:space="preserve">- расходы на фундаментальные научные исследования;</w:t>
      </w:r>
    </w:p>
    <w:p>
      <w:pPr>
        <w:pStyle w:val="0"/>
        <w:spacing w:before="240"/>
        <w:ind w:firstLine="540"/>
        <w:jc w:val="both"/>
      </w:pPr>
      <w:r>
        <w:rPr>
          <w:sz w:val="24"/>
        </w:rPr>
        <w:t xml:space="preserve">- расходы на приобретение алкогольных напитков и табачной продукции;</w:t>
      </w:r>
    </w:p>
    <w:p>
      <w:pPr>
        <w:pStyle w:val="0"/>
        <w:spacing w:before="240"/>
        <w:ind w:firstLine="540"/>
        <w:jc w:val="both"/>
      </w:pPr>
      <w:r>
        <w:rPr>
          <w:sz w:val="24"/>
        </w:rPr>
        <w:t xml:space="preserve">- уплата штрафов;</w:t>
      </w:r>
    </w:p>
    <w:p>
      <w:pPr>
        <w:pStyle w:val="0"/>
        <w:spacing w:before="240"/>
        <w:ind w:firstLine="540"/>
        <w:jc w:val="both"/>
      </w:pPr>
      <w:r>
        <w:rPr>
          <w:sz w:val="24"/>
        </w:rPr>
        <w:t xml:space="preserve">- приобретение иностранной валюты, за исключением операций, осуществляемых в соответствии с валютным законодательством Российской Федерации при закупке (поставке) высокотехнологичного импортного оборудования, сырья и комплектующих изделий, а также иных операций, связанных с достижением результатов предоставления этих средств, определенных правовым актом.</w:t>
      </w:r>
    </w:p>
    <w:p>
      <w:pPr>
        <w:pStyle w:val="0"/>
        <w:spacing w:before="240"/>
        <w:ind w:firstLine="540"/>
        <w:jc w:val="both"/>
      </w:pPr>
      <w:r>
        <w:rPr>
          <w:sz w:val="24"/>
        </w:rPr>
        <w:t xml:space="preserve">3.12. Управление бухгалтерского учета и отчетности администрации города в течение 5 рабочих дней со дня подписания Соглашения в соответствии с заключенным Соглашением готовит платежные документы для перечисления гранта получателю гранта и направляет в департамент финансов администрации города платежные документы для перечисления гранта.</w:t>
      </w:r>
    </w:p>
    <w:p>
      <w:pPr>
        <w:pStyle w:val="0"/>
        <w:spacing w:before="240"/>
        <w:ind w:firstLine="540"/>
        <w:jc w:val="both"/>
      </w:pPr>
      <w:r>
        <w:rPr>
          <w:sz w:val="24"/>
        </w:rPr>
        <w:t xml:space="preserve">Перечисление гранта осуществляется департаментом финансов администрации города по реквизитам лицевого счета: для бюджетных учреждений - лицевого счета, открытого в территориальном органе Федерального казначейства или финансовом органе субъекта Российской Федерации (муниципального образования), для автономных учреждений - лицевого счета, открытого в территориальном органе Федерального казначейства или финансовом органе субъекта Российской Федерации (муниципального образования), или расчетного счета в российских кредитных организациях не позднее десятого рабочего дня со дня подписания Соглашения сторонами.</w:t>
      </w:r>
    </w:p>
    <w:p>
      <w:pPr>
        <w:pStyle w:val="0"/>
        <w:spacing w:before="240"/>
        <w:ind w:firstLine="540"/>
        <w:jc w:val="both"/>
      </w:pPr>
      <w:r>
        <w:rPr>
          <w:sz w:val="24"/>
        </w:rPr>
        <w:t xml:space="preserve">3.13. В случае необходимости внесения изменений в Соглашение или необходимости расторжения Соглашения Управление готовит проект дополнительного соглашения к Соглашению или дополнительного соглашения о расторжении Соглашения по Типовой форме, организует его подписание уполномоченным лицом администрации города и получателем гранта в течение 10 рабочих дней со дня получения уведомления Уполномоченного органа, подготовленного в течение 2 рабочих дней со дня установления фактов, указанных в </w:t>
      </w:r>
      <w:hyperlink w:tooltip="3.14. Дополнительное соглашение к Соглашению заключается:" w:anchor="P254" w:history="0">
        <w:r>
          <w:rPr>
            <w:color w:val="0000ff"/>
            <w:sz w:val="24"/>
          </w:rPr>
          <w:t xml:space="preserve">пунктах 3.14</w:t>
        </w:r>
      </w:hyperlink>
      <w:r>
        <w:rPr>
          <w:sz w:val="24"/>
        </w:rPr>
        <w:t xml:space="preserve">, </w:t>
      </w:r>
      <w:hyperlink w:tooltip="3.15. Дополнительное соглашение о расторжении Соглашения по соглашению сторон заключается в случае отказа получателя гранта от полученного гранта." w:anchor="P260" w:history="0">
        <w:r>
          <w:rPr>
            <w:color w:val="0000ff"/>
            <w:sz w:val="24"/>
          </w:rPr>
          <w:t xml:space="preserve">3.15</w:t>
        </w:r>
      </w:hyperlink>
      <w:r>
        <w:rPr>
          <w:sz w:val="24"/>
        </w:rPr>
        <w:t xml:space="preserve"> Порядка.</w:t>
      </w:r>
    </w:p>
    <w:p>
      <w:pPr>
        <w:pStyle w:val="0"/>
        <w:spacing w:before="240"/>
        <w:ind w:firstLine="540"/>
        <w:jc w:val="both"/>
      </w:pPr>
      <w:r>
        <w:rPr>
          <w:sz w:val="24"/>
        </w:rPr>
        <w:t xml:space="preserve">Дополнительное соглашение к Соглашению и дополнительное соглашение о расторжении Соглашения заключаются в системе ГИС "Региональный электронный бюджет Югры", а в случае отсутствия технической возможности - на бумажном носителе.</w:t>
      </w:r>
    </w:p>
    <w:bookmarkStart w:id="254" w:name="P254"/>
    <w:bookmarkEnd w:id="254"/>
    <w:p>
      <w:pPr>
        <w:pStyle w:val="0"/>
        <w:spacing w:before="240"/>
        <w:ind w:firstLine="540"/>
        <w:jc w:val="both"/>
      </w:pPr>
      <w:r>
        <w:rPr>
          <w:sz w:val="24"/>
        </w:rPr>
        <w:t xml:space="preserve">3.14. Дополнительное соглашение к Соглашению заключается:</w:t>
      </w:r>
    </w:p>
    <w:p>
      <w:pPr>
        <w:pStyle w:val="0"/>
        <w:spacing w:before="240"/>
        <w:ind w:firstLine="540"/>
        <w:jc w:val="both"/>
      </w:pPr>
      <w:r>
        <w:rPr>
          <w:sz w:val="24"/>
        </w:rPr>
        <w:t xml:space="preserve">- при перераспределении средств гранта между утвержденными направлениями перечня затрат, источником финансового обеспечения которых является грант, в пределах общей суммы гранта;</w:t>
      </w:r>
    </w:p>
    <w:p>
      <w:pPr>
        <w:pStyle w:val="0"/>
        <w:spacing w:before="240"/>
        <w:ind w:firstLine="540"/>
        <w:jc w:val="both"/>
      </w:pPr>
      <w:r>
        <w:rPr>
          <w:sz w:val="24"/>
        </w:rPr>
        <w:t xml:space="preserve">- при смене банковских и других реквизитов сторон Соглашения, в том числе в случае внесения изменений в наименование получателя гранта;</w:t>
      </w:r>
    </w:p>
    <w:p>
      <w:pPr>
        <w:pStyle w:val="0"/>
        <w:spacing w:before="240"/>
        <w:ind w:firstLine="540"/>
        <w:jc w:val="both"/>
      </w:pPr>
      <w:r>
        <w:rPr>
          <w:sz w:val="24"/>
        </w:rPr>
        <w:t xml:space="preserve">- в случае необходимости уменьшения размера гранта в результате обнаружения счетной и (или) технической ошибки;</w:t>
      </w:r>
    </w:p>
    <w:p>
      <w:pPr>
        <w:pStyle w:val="0"/>
        <w:spacing w:before="240"/>
        <w:ind w:firstLine="540"/>
        <w:jc w:val="both"/>
      </w:pPr>
      <w:r>
        <w:rPr>
          <w:sz w:val="24"/>
        </w:rPr>
        <w:t xml:space="preserve">- в случае обнаружения технической ошибки;</w:t>
      </w:r>
    </w:p>
    <w:p>
      <w:pPr>
        <w:pStyle w:val="0"/>
        <w:spacing w:before="240"/>
        <w:ind w:firstLine="540"/>
        <w:jc w:val="both"/>
      </w:pPr>
      <w:r>
        <w:rPr>
          <w:sz w:val="24"/>
        </w:rPr>
        <w:t xml:space="preserve">- при реорганизации получателя гранта в форме слияния, присоединения или преобразования (в Соглашения вносятся изменения путем заключения дополнительного соглашения к Соглашению в части перемены лица в обязательстве с указанием в Соглашении юридического лица, являющегося правопреемником).</w:t>
      </w:r>
    </w:p>
    <w:bookmarkStart w:id="260" w:name="P260"/>
    <w:bookmarkEnd w:id="260"/>
    <w:p>
      <w:pPr>
        <w:pStyle w:val="0"/>
        <w:spacing w:before="240"/>
        <w:ind w:firstLine="540"/>
        <w:jc w:val="both"/>
      </w:pPr>
      <w:r>
        <w:rPr>
          <w:sz w:val="24"/>
        </w:rPr>
        <w:t xml:space="preserve">3.15. Дополнительное соглашение о расторжении Соглашения по соглашению сторон заключается в случае отказа получателя гранта от полученного гранта.</w:t>
      </w:r>
    </w:p>
    <w:p>
      <w:pPr>
        <w:pStyle w:val="0"/>
        <w:spacing w:before="240"/>
        <w:ind w:firstLine="540"/>
        <w:jc w:val="both"/>
      </w:pPr>
      <w:r>
        <w:rPr>
          <w:sz w:val="24"/>
        </w:rPr>
        <w:t xml:space="preserve">3.16. В случаях реорганизации получателя гранта в форме разделения, выделения, а также при ликвидации получателя гранта Соглашение расторгается в одностороннем порядке.</w:t>
      </w:r>
    </w:p>
    <w:bookmarkStart w:id="262" w:name="P262"/>
    <w:bookmarkEnd w:id="262"/>
    <w:p>
      <w:pPr>
        <w:pStyle w:val="0"/>
        <w:spacing w:before="240"/>
        <w:ind w:firstLine="540"/>
        <w:jc w:val="both"/>
      </w:pPr>
      <w:r>
        <w:rPr>
          <w:sz w:val="24"/>
        </w:rPr>
        <w:t xml:space="preserve">3.17. Результатом предоставления гранта является реализация получателем гранта проекта (программы) в сроки, установленные проектом (программой).</w:t>
      </w:r>
    </w:p>
    <w:p>
      <w:pPr>
        <w:pStyle w:val="0"/>
        <w:spacing w:before="240"/>
        <w:ind w:firstLine="540"/>
        <w:jc w:val="both"/>
      </w:pPr>
      <w:r>
        <w:rPr>
          <w:sz w:val="24"/>
        </w:rPr>
        <w:t xml:space="preserve">Показателями, необходимыми для достижения результата предоставления гранта, являются:</w:t>
      </w:r>
    </w:p>
    <w:p>
      <w:pPr>
        <w:pStyle w:val="0"/>
        <w:spacing w:before="240"/>
        <w:ind w:firstLine="540"/>
        <w:jc w:val="both"/>
      </w:pPr>
      <w:r>
        <w:rPr>
          <w:sz w:val="24"/>
        </w:rPr>
        <w:t xml:space="preserve">- количество мероприятий, направленных на реализацию проекта (программы);</w:t>
      </w:r>
    </w:p>
    <w:p>
      <w:pPr>
        <w:pStyle w:val="0"/>
        <w:spacing w:before="240"/>
        <w:ind w:firstLine="540"/>
        <w:jc w:val="both"/>
      </w:pPr>
      <w:r>
        <w:rPr>
          <w:sz w:val="24"/>
        </w:rPr>
        <w:t xml:space="preserve">- количество участников мероприятий, направленных на реализацию проекта (программы).</w:t>
      </w:r>
    </w:p>
    <w:p>
      <w:pPr>
        <w:pStyle w:val="0"/>
        <w:spacing w:before="240"/>
        <w:ind w:firstLine="540"/>
        <w:jc w:val="both"/>
      </w:pPr>
      <w:r>
        <w:rPr>
          <w:sz w:val="24"/>
        </w:rPr>
        <w:t xml:space="preserve">3.18. Срок использования гранта не может превышать срок реализации проекта (программы).</w:t>
      </w:r>
    </w:p>
    <w:p>
      <w:pPr>
        <w:pStyle w:val="0"/>
        <w:spacing w:before="240"/>
        <w:ind w:firstLine="540"/>
        <w:jc w:val="both"/>
      </w:pPr>
      <w:r>
        <w:rPr>
          <w:sz w:val="24"/>
        </w:rPr>
        <w:t xml:space="preserve">Остатки гранта, не использованные в текущем финансовом году, подлежат использованию в очередном финансовом году.</w:t>
      </w:r>
    </w:p>
    <w:p>
      <w:pPr>
        <w:pStyle w:val="0"/>
        <w:spacing w:before="240"/>
        <w:ind w:firstLine="540"/>
        <w:jc w:val="both"/>
      </w:pPr>
      <w:r>
        <w:rPr>
          <w:sz w:val="24"/>
        </w:rPr>
        <w:t xml:space="preserve">В случае неполного использования гранта получателем гранта в течение срока реализации проекта (программы) остатки гранта подлежат возврату получателем гранта в бюджет города в течение 1 месяца со дня окончания срока использования гранта.</w:t>
      </w:r>
    </w:p>
    <w:p>
      <w:pPr>
        <w:pStyle w:val="0"/>
        <w:jc w:val="center"/>
      </w:pPr>
      <w:r>
        <w:rPr>
          <w:sz w:val="24"/>
        </w:rPr>
      </w:r>
    </w:p>
    <w:p>
      <w:pPr>
        <w:pStyle w:val="2"/>
        <w:jc w:val="center"/>
        <w:outlineLvl w:val="1"/>
      </w:pPr>
      <w:r>
        <w:rPr>
          <w:sz w:val="24"/>
        </w:rPr>
        <w:t xml:space="preserve">IV. Требования к отчетности</w:t>
      </w:r>
    </w:p>
    <w:p>
      <w:pPr>
        <w:pStyle w:val="0"/>
        <w:jc w:val="center"/>
      </w:pPr>
      <w:r>
        <w:rPr>
          <w:sz w:val="24"/>
        </w:rPr>
      </w:r>
    </w:p>
    <w:bookmarkStart w:id="272" w:name="P272"/>
    <w:bookmarkEnd w:id="272"/>
    <w:p>
      <w:pPr>
        <w:pStyle w:val="0"/>
        <w:ind w:firstLine="540"/>
        <w:jc w:val="both"/>
      </w:pPr>
      <w:r>
        <w:rPr>
          <w:sz w:val="24"/>
        </w:rPr>
        <w:t xml:space="preserve">4.1. Получатель гранта с даты заключения Соглашения ежеквартально, в срок до 15 числа месяца, следующего за отчетным кварталом, представляет главному распорядителю бюджетных средств в лице Уполномоченного органа отчеты:</w:t>
      </w:r>
    </w:p>
    <w:p>
      <w:pPr>
        <w:pStyle w:val="0"/>
        <w:spacing w:before="240"/>
        <w:ind w:firstLine="540"/>
        <w:jc w:val="both"/>
      </w:pPr>
      <w:r>
        <w:rPr>
          <w:sz w:val="24"/>
        </w:rPr>
        <w:t xml:space="preserve">- об осуществлении расходов, источником финансового обеспечения которых является грант (с нарастающим итогом), по форме, определенной Соглашением;</w:t>
      </w:r>
    </w:p>
    <w:p>
      <w:pPr>
        <w:pStyle w:val="0"/>
        <w:spacing w:before="240"/>
        <w:ind w:firstLine="540"/>
        <w:jc w:val="both"/>
      </w:pPr>
      <w:r>
        <w:rPr>
          <w:sz w:val="24"/>
        </w:rPr>
        <w:t xml:space="preserve">- о достижении значений результата предоставления гранта, установленного </w:t>
      </w:r>
      <w:hyperlink w:tooltip="3.17. Результатом предоставления гранта является реализация получателем гранта проекта (программы) в сроки, установленные проектом (программой)." w:anchor="P262" w:history="0">
        <w:r>
          <w:rPr>
            <w:color w:val="0000ff"/>
            <w:sz w:val="24"/>
          </w:rPr>
          <w:t xml:space="preserve">пунктом 3.17</w:t>
        </w:r>
      </w:hyperlink>
      <w:r>
        <w:rPr>
          <w:sz w:val="24"/>
        </w:rPr>
        <w:t xml:space="preserve"> Порядка, по форме, определенной Соглашением;</w:t>
      </w:r>
    </w:p>
    <w:p>
      <w:pPr>
        <w:pStyle w:val="0"/>
        <w:spacing w:before="240"/>
        <w:ind w:firstLine="540"/>
        <w:jc w:val="both"/>
      </w:pPr>
      <w:r>
        <w:rPr>
          <w:sz w:val="24"/>
        </w:rPr>
        <w:t xml:space="preserve">- о результатах реализации проекта (программы) (с нарастающим итогом) по </w:t>
      </w:r>
      <w:hyperlink w:tooltip="Отчет" w:anchor="P653" w:history="0">
        <w:r>
          <w:rPr>
            <w:color w:val="0000ff"/>
            <w:sz w:val="24"/>
          </w:rPr>
          <w:t xml:space="preserve">форме</w:t>
        </w:r>
      </w:hyperlink>
      <w:r>
        <w:rPr>
          <w:sz w:val="24"/>
        </w:rPr>
        <w:t xml:space="preserve"> согласно приложению 6 к Порядку;</w:t>
      </w:r>
    </w:p>
    <w:p>
      <w:pPr>
        <w:pStyle w:val="0"/>
        <w:jc w:val="both"/>
      </w:pPr>
      <w:r>
        <w:rPr>
          <w:sz w:val="24"/>
        </w:rPr>
        <w:t xml:space="preserve">(в ред. </w:t>
      </w:r>
      <w:r>
        <w:rPr>
          <w:sz w:val="24"/>
        </w:rPr>
        <w:t xml:space="preserve">постановления</w:t>
      </w:r>
      <w:r>
        <w:rPr>
          <w:sz w:val="24"/>
        </w:rPr>
        <w:t xml:space="preserve"> Администрации города Нижневартовска от 17.06.2026 N 523)</w:t>
      </w:r>
    </w:p>
    <w:p>
      <w:pPr>
        <w:pStyle w:val="0"/>
        <w:spacing w:before="240"/>
        <w:ind w:firstLine="540"/>
        <w:jc w:val="both"/>
      </w:pPr>
      <w:r>
        <w:rPr>
          <w:sz w:val="24"/>
        </w:rPr>
        <w:t xml:space="preserve">- о реализации плана мероприятий по достижению результата предоставления гранта по форме, определенной Соглашением.</w:t>
      </w:r>
    </w:p>
    <w:p>
      <w:pPr>
        <w:pStyle w:val="0"/>
        <w:jc w:val="both"/>
      </w:pPr>
      <w:r>
        <w:rPr>
          <w:sz w:val="24"/>
        </w:rPr>
        <w:t xml:space="preserve">(в ред. </w:t>
      </w:r>
      <w:r>
        <w:rPr>
          <w:sz w:val="24"/>
        </w:rPr>
        <w:t xml:space="preserve">постановления</w:t>
      </w:r>
      <w:r>
        <w:rPr>
          <w:sz w:val="24"/>
        </w:rPr>
        <w:t xml:space="preserve"> Администрации города Нижневартовска от 17.06.2026 N 523)</w:t>
      </w:r>
    </w:p>
    <w:p>
      <w:pPr>
        <w:pStyle w:val="0"/>
        <w:spacing w:before="240"/>
        <w:ind w:firstLine="540"/>
        <w:jc w:val="both"/>
      </w:pPr>
      <w:r>
        <w:rPr>
          <w:sz w:val="24"/>
        </w:rPr>
        <w:t xml:space="preserve">Отчет об осуществлении расходов, источником финансового обеспечения которых является грант, должен содержать информацию о направлении расходов и копии документов, подтверждающих произведенные расходы (заверенные получателем гранта копии документов, подтверждающих расходы получателя гранта (счета, счета-фактуры, товарные накладные, акты выполненных работ (обязательств), платежные документы, договоры и др.)).</w:t>
      </w:r>
    </w:p>
    <w:p>
      <w:pPr>
        <w:pStyle w:val="0"/>
        <w:jc w:val="both"/>
      </w:pPr>
      <w:r>
        <w:rPr>
          <w:sz w:val="24"/>
        </w:rPr>
        <w:t xml:space="preserve">(абзац введен </w:t>
      </w:r>
      <w:r>
        <w:rPr>
          <w:sz w:val="24"/>
        </w:rPr>
        <w:t xml:space="preserve">постановлением</w:t>
      </w:r>
      <w:r>
        <w:rPr>
          <w:sz w:val="24"/>
        </w:rPr>
        <w:t xml:space="preserve"> Администрации города Нижневартовска от 17.06.2026 N 523)</w:t>
      </w:r>
    </w:p>
    <w:p>
      <w:pPr>
        <w:pStyle w:val="0"/>
        <w:spacing w:before="240"/>
        <w:ind w:firstLine="540"/>
        <w:jc w:val="both"/>
      </w:pPr>
      <w:r>
        <w:rPr>
          <w:sz w:val="24"/>
        </w:rPr>
        <w:t xml:space="preserve">4.2. Отчеты, предусмотренные </w:t>
      </w:r>
      <w:hyperlink w:tooltip="4.1. Получатель гранта с даты заключения Соглашения ежеквартально, в срок до 15 числа месяца, следующего за отчетным кварталом, представляет главному распорядителю бюджетных средств в лице Уполномоченного органа отчеты:" w:anchor="P272" w:history="0">
        <w:r>
          <w:rPr>
            <w:color w:val="0000ff"/>
            <w:sz w:val="24"/>
          </w:rPr>
          <w:t xml:space="preserve">пунктом 4.1</w:t>
        </w:r>
      </w:hyperlink>
      <w:r>
        <w:rPr>
          <w:sz w:val="24"/>
        </w:rPr>
        <w:t xml:space="preserve"> Порядка, за IV квартал года, в котором заключено Соглашение, получатель гранта представляет в Уполномоченный орган в срок до 25 декабря этого же года.</w:t>
      </w:r>
    </w:p>
    <w:bookmarkStart w:id="282" w:name="P282"/>
    <w:bookmarkEnd w:id="282"/>
    <w:p>
      <w:pPr>
        <w:pStyle w:val="0"/>
        <w:spacing w:before="240"/>
        <w:ind w:firstLine="540"/>
        <w:jc w:val="both"/>
      </w:pPr>
      <w:r>
        <w:rPr>
          <w:sz w:val="24"/>
        </w:rPr>
        <w:t xml:space="preserve">4.3. Получатель гранта в течение 15 рабочих дней со дня окончания срока реализации проекта (программы) представляет в Уполномоченный орган итоговые отчеты, предусмотренные </w:t>
      </w:r>
      <w:hyperlink w:tooltip="4.1. Получатель гранта с даты заключения Соглашения ежеквартально, в срок до 15 числа месяца, следующего за отчетным кварталом, представляет главному распорядителю бюджетных средств в лице Уполномоченного органа отчеты:" w:anchor="P272" w:history="0">
        <w:r>
          <w:rPr>
            <w:color w:val="0000ff"/>
            <w:sz w:val="24"/>
          </w:rPr>
          <w:t xml:space="preserve">пунктом 4.1</w:t>
        </w:r>
      </w:hyperlink>
      <w:r>
        <w:rPr>
          <w:sz w:val="24"/>
        </w:rPr>
        <w:t xml:space="preserve"> Порядка.</w:t>
      </w:r>
    </w:p>
    <w:p>
      <w:pPr>
        <w:pStyle w:val="0"/>
        <w:spacing w:before="240"/>
        <w:ind w:firstLine="540"/>
        <w:jc w:val="both"/>
      </w:pPr>
      <w:r>
        <w:rPr>
          <w:sz w:val="24"/>
        </w:rPr>
        <w:t xml:space="preserve">Вместе с итоговыми отчетами получатель гранта представляет письменное подтверждение:</w:t>
      </w:r>
    </w:p>
    <w:p>
      <w:pPr>
        <w:pStyle w:val="0"/>
        <w:spacing w:before="240"/>
        <w:ind w:firstLine="540"/>
        <w:jc w:val="both"/>
      </w:pPr>
      <w:r>
        <w:rPr>
          <w:sz w:val="24"/>
        </w:rPr>
        <w:t xml:space="preserve">- ведения обособленного аналитического учета операций, осуществляемых за счет гранта;</w:t>
      </w:r>
    </w:p>
    <w:p>
      <w:pPr>
        <w:pStyle w:val="0"/>
        <w:spacing w:before="240"/>
        <w:ind w:firstLine="540"/>
        <w:jc w:val="both"/>
      </w:pPr>
      <w:r>
        <w:rPr>
          <w:sz w:val="24"/>
        </w:rPr>
        <w:t xml:space="preserve">- соблюдения запретов, предусмотренных </w:t>
      </w:r>
      <w:hyperlink w:tooltip="3.11. За счет предоставленного гранта получателю гранта запрещается осуществлять следующие расходы:" w:anchor="P241" w:history="0">
        <w:r>
          <w:rPr>
            <w:color w:val="0000ff"/>
            <w:sz w:val="24"/>
          </w:rPr>
          <w:t xml:space="preserve">пунктом 3.11</w:t>
        </w:r>
      </w:hyperlink>
      <w:r>
        <w:rPr>
          <w:sz w:val="24"/>
        </w:rPr>
        <w:t xml:space="preserve"> Порядка.</w:t>
      </w:r>
    </w:p>
    <w:bookmarkStart w:id="286" w:name="P286"/>
    <w:bookmarkEnd w:id="286"/>
    <w:p>
      <w:pPr>
        <w:pStyle w:val="0"/>
        <w:spacing w:before="240"/>
        <w:ind w:firstLine="540"/>
        <w:jc w:val="both"/>
      </w:pPr>
      <w:r>
        <w:rPr>
          <w:sz w:val="24"/>
        </w:rPr>
        <w:t xml:space="preserve">4.4. Главный распорядитель бюджетных средств в лице Уполномоченного органа осуществляет прием и проверку отчетов, предусмотренных </w:t>
      </w:r>
      <w:hyperlink w:tooltip="4.1. Получатель гранта с даты заключения Соглашения ежеквартально, в срок до 15 числа месяца, следующего за отчетным кварталом, представляет главному распорядителю бюджетных средств в лице Уполномоченного органа отчеты:" w:anchor="P272" w:history="0">
        <w:r>
          <w:rPr>
            <w:color w:val="0000ff"/>
            <w:sz w:val="24"/>
          </w:rPr>
          <w:t xml:space="preserve">пунктами 4.1</w:t>
        </w:r>
      </w:hyperlink>
      <w:r>
        <w:rPr>
          <w:sz w:val="24"/>
        </w:rPr>
        <w:t xml:space="preserve">, </w:t>
      </w:r>
      <w:hyperlink w:tooltip="4.3. Получатель гранта в течение 15 рабочих дней со дня окончания срока реализации проекта (программы) представляет в Уполномоченный орган итоговые отчеты, предусмотренные пунктом 4.1 Порядка." w:anchor="P282" w:history="0">
        <w:r>
          <w:rPr>
            <w:color w:val="0000ff"/>
            <w:sz w:val="24"/>
          </w:rPr>
          <w:t xml:space="preserve">4.3</w:t>
        </w:r>
      </w:hyperlink>
      <w:r>
        <w:rPr>
          <w:sz w:val="24"/>
        </w:rPr>
        <w:t xml:space="preserve"> Порядка, в течение 10 рабочих дней со дня их получения.</w:t>
      </w:r>
    </w:p>
    <w:bookmarkStart w:id="287" w:name="P287"/>
    <w:bookmarkEnd w:id="287"/>
    <w:p>
      <w:pPr>
        <w:pStyle w:val="0"/>
        <w:spacing w:before="240"/>
        <w:ind w:firstLine="540"/>
        <w:jc w:val="both"/>
      </w:pPr>
      <w:r>
        <w:rPr>
          <w:sz w:val="24"/>
        </w:rPr>
        <w:t xml:space="preserve">4.5. В случае если документы, указанные в </w:t>
      </w:r>
      <w:hyperlink w:tooltip="4.1. Получатель гранта с даты заключения Соглашения ежеквартально, в срок до 15 числа месяца, следующего за отчетным кварталом, представляет главному распорядителю бюджетных средств в лице Уполномоченного органа отчеты:" w:anchor="P272" w:history="0">
        <w:r>
          <w:rPr>
            <w:color w:val="0000ff"/>
            <w:sz w:val="24"/>
          </w:rPr>
          <w:t xml:space="preserve">пунктах 4.1</w:t>
        </w:r>
      </w:hyperlink>
      <w:r>
        <w:rPr>
          <w:sz w:val="24"/>
        </w:rPr>
        <w:t xml:space="preserve">, </w:t>
      </w:r>
      <w:hyperlink w:tooltip="4.3. Получатель гранта в течение 15 рабочих дней со дня окончания срока реализации проекта (программы) представляет в Уполномоченный орган итоговые отчеты, предусмотренные пунктом 4.1 Порядка." w:anchor="P282" w:history="0">
        <w:r>
          <w:rPr>
            <w:color w:val="0000ff"/>
            <w:sz w:val="24"/>
          </w:rPr>
          <w:t xml:space="preserve">4.3</w:t>
        </w:r>
      </w:hyperlink>
      <w:r>
        <w:rPr>
          <w:sz w:val="24"/>
        </w:rPr>
        <w:t xml:space="preserve"> Порядка, не подтверждают или не в полной мере подтверждают произведенные расходы, источником финансового обеспечения которых является грант, главный распорядитель бюджетных средств в лице Уполномоченного органа при приеме и проверке документов в течение 2 рабочих дней со дня выявления указанных фактов направляет запрос получателю гранта о представлении дополнительных документов, подтверждающих произведенные расходы.</w:t>
      </w:r>
    </w:p>
    <w:bookmarkStart w:id="288" w:name="P288"/>
    <w:bookmarkEnd w:id="288"/>
    <w:p>
      <w:pPr>
        <w:pStyle w:val="0"/>
        <w:spacing w:before="240"/>
        <w:ind w:firstLine="540"/>
        <w:jc w:val="both"/>
      </w:pPr>
      <w:r>
        <w:rPr>
          <w:sz w:val="24"/>
        </w:rPr>
        <w:t xml:space="preserve">4.6. Получатель гранта в течение 3 рабочих дней со дня получения запроса, указанного в </w:t>
      </w:r>
      <w:hyperlink w:tooltip="4.5. В случае если документы, указанные в пунктах 4.1, 4.3 Порядка, не подтверждают или не в полной мере подтверждают произведенные расходы, источником финансового обеспечения которых является грант, главный распорядитель бюджетных средств в лице Уполномоченного органа при приеме и проверке документов в течение 2 рабочих дней со дня выявления указанных фактов направляет запрос получателю гранта о представлении дополнительных документов, подтверждающих произведенные расходы." w:anchor="P287" w:history="0">
        <w:r>
          <w:rPr>
            <w:color w:val="0000ff"/>
            <w:sz w:val="24"/>
          </w:rPr>
          <w:t xml:space="preserve">пункте 4.5</w:t>
        </w:r>
      </w:hyperlink>
      <w:r>
        <w:rPr>
          <w:sz w:val="24"/>
        </w:rPr>
        <w:t xml:space="preserve"> Порядка, направляет главному распорядителю бюджетных средств в лице Уполномоченного органа дополнительные документы, подтверждающие произведенные расходы.</w:t>
      </w:r>
    </w:p>
    <w:p>
      <w:pPr>
        <w:pStyle w:val="0"/>
        <w:spacing w:before="240"/>
        <w:ind w:firstLine="540"/>
        <w:jc w:val="both"/>
      </w:pPr>
      <w:r>
        <w:rPr>
          <w:sz w:val="24"/>
        </w:rPr>
        <w:t xml:space="preserve">4.7. При представлении получателем гранта дополнительных документов, предусмотренных </w:t>
      </w:r>
      <w:hyperlink w:tooltip="4.6. Получатель гранта в течение 3 рабочих дней со дня получения запроса, указанного в пункте 4.5 Порядка, направляет главному распорядителю бюджетных средств в лице Уполномоченного органа дополнительные документы, подтверждающие произведенные расходы." w:anchor="P288" w:history="0">
        <w:r>
          <w:rPr>
            <w:color w:val="0000ff"/>
            <w:sz w:val="24"/>
          </w:rPr>
          <w:t xml:space="preserve">пунктом 4.6</w:t>
        </w:r>
      </w:hyperlink>
      <w:r>
        <w:rPr>
          <w:sz w:val="24"/>
        </w:rPr>
        <w:t xml:space="preserve"> Порядка, срок осуществления проверки отчетов, предусмотренный </w:t>
      </w:r>
      <w:hyperlink w:tooltip="4.4. Главный распорядитель бюджетных средств в лице Уполномоченного органа осуществляет прием и проверку отчетов, предусмотренных пунктами 4.1, 4.3 Порядка, в течение 10 рабочих дней со дня их получения." w:anchor="P286" w:history="0">
        <w:r>
          <w:rPr>
            <w:color w:val="0000ff"/>
            <w:sz w:val="24"/>
          </w:rPr>
          <w:t xml:space="preserve">пунктом 4.4</w:t>
        </w:r>
      </w:hyperlink>
      <w:r>
        <w:rPr>
          <w:sz w:val="24"/>
        </w:rPr>
        <w:t xml:space="preserve"> Порядка, исчисляется вновь со дня, следующего за днем представления дополнительных документов.</w:t>
      </w:r>
    </w:p>
    <w:p>
      <w:pPr>
        <w:pStyle w:val="0"/>
        <w:spacing w:before="240"/>
        <w:ind w:firstLine="540"/>
        <w:jc w:val="both"/>
      </w:pPr>
      <w:r>
        <w:rPr>
          <w:sz w:val="24"/>
        </w:rPr>
        <w:t xml:space="preserve">4.8. Главный распорядитель бюджетных средств в лице Уполномоченного органа в течение 3 рабочих дней со дня окончания проверки отчетов, предусмотренных </w:t>
      </w:r>
      <w:hyperlink w:tooltip="4.3. Получатель гранта в течение 15 рабочих дней со дня окончания срока реализации проекта (программы) представляет в Уполномоченный орган итоговые отчеты, предусмотренные пунктом 4.1 Порядка." w:anchor="P282" w:history="0">
        <w:r>
          <w:rPr>
            <w:color w:val="0000ff"/>
            <w:sz w:val="24"/>
          </w:rPr>
          <w:t xml:space="preserve">пунктом 4.3</w:t>
        </w:r>
      </w:hyperlink>
      <w:r>
        <w:rPr>
          <w:sz w:val="24"/>
        </w:rPr>
        <w:t xml:space="preserve"> Порядка, направляет их заверенные копии в управление бухгалтерского учета и отчетности администрации города.</w:t>
      </w:r>
    </w:p>
    <w:p>
      <w:pPr>
        <w:pStyle w:val="0"/>
        <w:jc w:val="center"/>
      </w:pPr>
      <w:r>
        <w:rPr>
          <w:sz w:val="24"/>
        </w:rPr>
      </w:r>
    </w:p>
    <w:p>
      <w:pPr>
        <w:pStyle w:val="2"/>
        <w:jc w:val="center"/>
        <w:outlineLvl w:val="1"/>
      </w:pPr>
      <w:r>
        <w:rPr>
          <w:sz w:val="24"/>
        </w:rPr>
        <w:t xml:space="preserve">V. Требования об осуществлении контроля за соблюдением</w:t>
      </w:r>
    </w:p>
    <w:p>
      <w:pPr>
        <w:pStyle w:val="2"/>
        <w:jc w:val="center"/>
      </w:pPr>
      <w:r>
        <w:rPr>
          <w:sz w:val="24"/>
        </w:rPr>
        <w:t xml:space="preserve">условий и порядка предоставления грантов и ответственности</w:t>
      </w:r>
    </w:p>
    <w:p>
      <w:pPr>
        <w:pStyle w:val="2"/>
        <w:jc w:val="center"/>
      </w:pPr>
      <w:r>
        <w:rPr>
          <w:sz w:val="24"/>
        </w:rPr>
        <w:t xml:space="preserve">за их нарушение</w:t>
      </w:r>
    </w:p>
    <w:p>
      <w:pPr>
        <w:pStyle w:val="0"/>
        <w:jc w:val="center"/>
      </w:pPr>
      <w:r>
        <w:rPr>
          <w:sz w:val="24"/>
        </w:rPr>
      </w:r>
    </w:p>
    <w:p>
      <w:pPr>
        <w:pStyle w:val="0"/>
        <w:ind w:firstLine="540"/>
        <w:jc w:val="both"/>
      </w:pPr>
      <w:r>
        <w:rPr>
          <w:sz w:val="24"/>
        </w:rPr>
        <w:t xml:space="preserve">5.1. В отношении получателей грантов осуществляются проверки:</w:t>
      </w:r>
    </w:p>
    <w:p>
      <w:pPr>
        <w:pStyle w:val="0"/>
        <w:spacing w:before="240"/>
        <w:ind w:firstLine="540"/>
        <w:jc w:val="both"/>
      </w:pPr>
      <w:r>
        <w:rPr>
          <w:sz w:val="24"/>
        </w:rPr>
        <w:t xml:space="preserve">- главным распорядителем бюджетных средств в лице Уполномоченного органа в части соблюдения ими условий и порядка предоставления грантов, в том числе в части достижения результата их предоставления;</w:t>
      </w:r>
    </w:p>
    <w:p>
      <w:pPr>
        <w:pStyle w:val="0"/>
        <w:spacing w:before="240"/>
        <w:ind w:firstLine="540"/>
        <w:jc w:val="both"/>
      </w:pPr>
      <w:r>
        <w:rPr>
          <w:sz w:val="24"/>
        </w:rPr>
        <w:t xml:space="preserve">- органами государственного (муниципального) финансового контроля в соответствии со </w:t>
      </w:r>
      <w:r>
        <w:rPr>
          <w:sz w:val="24"/>
        </w:rPr>
        <w:t xml:space="preserve">статьями 268.1</w:t>
      </w:r>
      <w:r>
        <w:rPr>
          <w:sz w:val="24"/>
        </w:rPr>
        <w:t xml:space="preserve"> и </w:t>
      </w:r>
      <w:r>
        <w:rPr>
          <w:sz w:val="24"/>
        </w:rPr>
        <w:t xml:space="preserve">269.2</w:t>
      </w:r>
      <w:r>
        <w:rPr>
          <w:sz w:val="24"/>
        </w:rPr>
        <w:t xml:space="preserve"> Бюджетного кодекса Российской Федерации.</w:t>
      </w:r>
    </w:p>
    <w:bookmarkStart w:id="299" w:name="P299"/>
    <w:bookmarkEnd w:id="299"/>
    <w:p>
      <w:pPr>
        <w:pStyle w:val="0"/>
        <w:spacing w:before="240"/>
        <w:ind w:firstLine="540"/>
        <w:jc w:val="both"/>
      </w:pPr>
      <w:r>
        <w:rPr>
          <w:sz w:val="24"/>
        </w:rPr>
        <w:t xml:space="preserve">5.2. Получатель гранта несет ответственность в виде возврата гранта (остатков гранта) в следующих случаях:</w:t>
      </w:r>
    </w:p>
    <w:p>
      <w:pPr>
        <w:pStyle w:val="0"/>
        <w:spacing w:before="240"/>
        <w:ind w:firstLine="540"/>
        <w:jc w:val="both"/>
      </w:pPr>
      <w:r>
        <w:rPr>
          <w:sz w:val="24"/>
        </w:rPr>
        <w:t xml:space="preserve">- нарушение получателем гранта условий предоставления гранта, выявленное в том числе по фактам проверок, проведенных главным распорядителем бюджетных средств в лице Уполномоченного органа и органами государственного (муниципального) финансового контроля;</w:t>
      </w:r>
    </w:p>
    <w:p>
      <w:pPr>
        <w:pStyle w:val="0"/>
        <w:spacing w:before="240"/>
        <w:ind w:firstLine="540"/>
        <w:jc w:val="both"/>
      </w:pPr>
      <w:r>
        <w:rPr>
          <w:sz w:val="24"/>
        </w:rPr>
        <w:t xml:space="preserve">- недостижение значений результата предоставления гранта, установленного </w:t>
      </w:r>
      <w:hyperlink w:tooltip="3.17. Результатом предоставления гранта является реализация получателем гранта проекта (программы) в сроки, установленные проектом (программой)." w:anchor="P262" w:history="0">
        <w:r>
          <w:rPr>
            <w:color w:val="0000ff"/>
            <w:sz w:val="24"/>
          </w:rPr>
          <w:t xml:space="preserve">пунктом 3.17</w:t>
        </w:r>
      </w:hyperlink>
      <w:r>
        <w:rPr>
          <w:sz w:val="24"/>
        </w:rPr>
        <w:t xml:space="preserve"> Порядка;</w:t>
      </w:r>
    </w:p>
    <w:p>
      <w:pPr>
        <w:pStyle w:val="0"/>
        <w:spacing w:before="240"/>
        <w:ind w:firstLine="540"/>
        <w:jc w:val="both"/>
      </w:pPr>
      <w:r>
        <w:rPr>
          <w:sz w:val="24"/>
        </w:rPr>
        <w:t xml:space="preserve">- нарушение требований, установленных </w:t>
      </w:r>
      <w:hyperlink w:tooltip="4.6. Получатель гранта в течение 3 рабочих дней со дня получения запроса, указанного в пункте 4.5 Порядка, направляет главному распорядителю бюджетных средств в лице Уполномоченного органа дополнительные документы, подтверждающие произведенные расходы." w:anchor="P288" w:history="0">
        <w:r>
          <w:rPr>
            <w:color w:val="0000ff"/>
            <w:sz w:val="24"/>
          </w:rPr>
          <w:t xml:space="preserve">пунктом 4.6</w:t>
        </w:r>
      </w:hyperlink>
      <w:r>
        <w:rPr>
          <w:sz w:val="24"/>
        </w:rPr>
        <w:t xml:space="preserve"> Порядка.</w:t>
      </w:r>
    </w:p>
    <w:p>
      <w:pPr>
        <w:pStyle w:val="0"/>
        <w:spacing w:before="240"/>
        <w:ind w:firstLine="540"/>
        <w:jc w:val="both"/>
      </w:pPr>
      <w:r>
        <w:rPr>
          <w:sz w:val="24"/>
        </w:rPr>
        <w:t xml:space="preserve">5.3. Требование о возврате гранта (остатков гранта) направляется Уполномоченным органом получателю гранта на адрес электронной почты, указанный в заявке, в течение 15 рабочих дней со дня установления фактов, указанных в </w:t>
      </w:r>
      <w:hyperlink w:tooltip="5.2. Получатель гранта несет ответственность в виде возврата гранта (остатков гранта) в следующих случаях:" w:anchor="P299" w:history="0">
        <w:r>
          <w:rPr>
            <w:color w:val="0000ff"/>
            <w:sz w:val="24"/>
          </w:rPr>
          <w:t xml:space="preserve">пункте 5.2</w:t>
        </w:r>
      </w:hyperlink>
      <w:r>
        <w:rPr>
          <w:sz w:val="24"/>
        </w:rPr>
        <w:t xml:space="preserve"> Порядка.</w:t>
      </w:r>
    </w:p>
    <w:bookmarkStart w:id="304" w:name="P304"/>
    <w:bookmarkEnd w:id="304"/>
    <w:p>
      <w:pPr>
        <w:pStyle w:val="0"/>
        <w:spacing w:before="240"/>
        <w:ind w:firstLine="540"/>
        <w:jc w:val="both"/>
      </w:pPr>
      <w:r>
        <w:rPr>
          <w:sz w:val="24"/>
        </w:rPr>
        <w:t xml:space="preserve">5.4. Получатель гранта обязан возвратить грант (остатки гранта) в течение 15 рабочих дней со дня, следующего за днем получения требования о возврате гранта (остатков гранта).</w:t>
      </w:r>
    </w:p>
    <w:p>
      <w:pPr>
        <w:pStyle w:val="0"/>
        <w:spacing w:before="240"/>
        <w:ind w:firstLine="540"/>
        <w:jc w:val="both"/>
      </w:pPr>
      <w:r>
        <w:rPr>
          <w:sz w:val="24"/>
        </w:rPr>
        <w:t xml:space="preserve">5.5. В случае невыполнения требования о возврате гранта (остатков гранта) в бюджет города в сроки, установленные </w:t>
      </w:r>
      <w:hyperlink w:tooltip="5.4. Получатель гранта обязан возвратить грант (остатки гранта) в течение 15 рабочих дней со дня, следующего за днем получения требования о возврате гранта (остатков гранта)." w:anchor="P304" w:history="0">
        <w:r>
          <w:rPr>
            <w:color w:val="0000ff"/>
            <w:sz w:val="24"/>
          </w:rPr>
          <w:t xml:space="preserve">пунктом 5.4</w:t>
        </w:r>
      </w:hyperlink>
      <w:r>
        <w:rPr>
          <w:sz w:val="24"/>
        </w:rPr>
        <w:t xml:space="preserve"> Порядка, взыскание гранта (остатков гранта) осуществляется в судебном порядке в соответствии с законодательством Российской Федерации.</w:t>
      </w:r>
    </w:p>
    <w:p>
      <w:pPr>
        <w:pStyle w:val="0"/>
        <w:spacing w:before="240"/>
        <w:ind w:firstLine="540"/>
        <w:jc w:val="both"/>
      </w:pPr>
      <w:r>
        <w:rPr>
          <w:sz w:val="24"/>
        </w:rPr>
        <w:t xml:space="preserve">5.6. В случае установления факта приобретения иными юридическими лицами, получающими средства на основании договоров (соглашений), заключенных с получателями грантов, за счет полученных средств из бюджета города иностранной валюты, за исключением операций, осуществляемых в соответствии с валютным законодательством Российской Федерации при закупке (поставке) высокотехнологичного импортного оборудования, сырья и комплектующих изделий, а также иных операций, связанных с достижением результатов предоставления этих средств, Уполномоченный орган в течение 15 рабочих дней со дня, следующего за днем установления данного факта, направляет требование о возврате гранта (части гранта) иным юридическим лицам, получающим средства на основании договоров (соглашений), заключенных с получателями грантов.</w:t>
      </w:r>
    </w:p>
    <w:p>
      <w:pPr>
        <w:pStyle w:val="0"/>
        <w:spacing w:before="240"/>
        <w:ind w:firstLine="540"/>
        <w:jc w:val="both"/>
      </w:pPr>
      <w:r>
        <w:rPr>
          <w:sz w:val="24"/>
        </w:rPr>
        <w:t xml:space="preserve">Иные юридические лица, получающие средства на основании договоров (соглашений), заключенных с получателями грантов, обязаны возвратить грант (часть гранта) в течение 30 календарных дней со дня, следующего за днем получения требования о возврате гранта (части гранта). В случае невыполнения требования о возврате гранта (части гранта) в бюджет города в сроки, установленные настоящим пунктом, взыскание гранта (части гранта) осуществляется в судебном порядке в соответствии с законодательством Российской Федерации.</w:t>
      </w:r>
    </w:p>
    <w:p>
      <w:pPr>
        <w:pStyle w:val="0"/>
        <w:jc w:val="center"/>
      </w:pPr>
      <w:r>
        <w:rPr>
          <w:sz w:val="24"/>
        </w:rPr>
      </w:r>
    </w:p>
    <w:p>
      <w:pPr>
        <w:pStyle w:val="2"/>
        <w:jc w:val="center"/>
        <w:outlineLvl w:val="1"/>
      </w:pPr>
      <w:r>
        <w:rPr>
          <w:sz w:val="24"/>
        </w:rPr>
        <w:t xml:space="preserve">VI. Требования о проведении мониторинга достижения</w:t>
      </w:r>
    </w:p>
    <w:p>
      <w:pPr>
        <w:pStyle w:val="2"/>
        <w:jc w:val="center"/>
      </w:pPr>
      <w:r>
        <w:rPr>
          <w:sz w:val="24"/>
        </w:rPr>
        <w:t xml:space="preserve">результата предоставления гранта</w:t>
      </w:r>
    </w:p>
    <w:p>
      <w:pPr>
        <w:pStyle w:val="0"/>
        <w:jc w:val="center"/>
      </w:pPr>
      <w:r>
        <w:rPr>
          <w:sz w:val="24"/>
        </w:rPr>
      </w:r>
    </w:p>
    <w:p>
      <w:pPr>
        <w:pStyle w:val="0"/>
        <w:ind w:firstLine="540"/>
        <w:jc w:val="both"/>
      </w:pPr>
      <w:r>
        <w:rPr>
          <w:sz w:val="24"/>
        </w:rPr>
        <w:t xml:space="preserve">Главный распорядитель бюджетных средств в лице Уполномоченного органа ежеквартально проводит мониторинг достижения значений результата предоставления гранта, определенных Соглашением, и событий, отражающих факт завершения соответствующего мероприятия по получению результата предоставления гранта (контрольная точка), в порядке и по формам, которые установлены порядком проведения мониторинга достижения результатов предоставления субсидии, установленным Министерством финансов Российской Федерации.</w:t>
      </w:r>
    </w:p>
    <w:p>
      <w:pPr>
        <w:pStyle w:val="0"/>
        <w:ind w:firstLine="540"/>
        <w:jc w:val="both"/>
      </w:pPr>
      <w:r>
        <w:rPr>
          <w:sz w:val="24"/>
        </w:rPr>
      </w:r>
    </w:p>
    <w:p>
      <w:pPr>
        <w:pStyle w:val="0"/>
        <w:ind w:firstLine="540"/>
        <w:jc w:val="both"/>
      </w:pPr>
      <w:r>
        <w:rPr>
          <w:sz w:val="24"/>
        </w:rPr>
      </w:r>
    </w:p>
    <w:p>
      <w:pPr>
        <w:pStyle w:val="0"/>
        <w:ind w:firstLine="540"/>
        <w:jc w:val="both"/>
      </w:pPr>
      <w:r>
        <w:rPr>
          <w:sz w:val="24"/>
        </w:rPr>
      </w:r>
    </w:p>
    <w:p>
      <w:pPr>
        <w:pStyle w:val="0"/>
        <w:ind w:firstLine="540"/>
        <w:jc w:val="both"/>
      </w:pPr>
      <w:r>
        <w:rPr>
          <w:sz w:val="24"/>
        </w:rPr>
      </w:r>
    </w:p>
    <w:p>
      <w:pPr>
        <w:pStyle w:val="0"/>
        <w:ind w:firstLine="540"/>
        <w:jc w:val="both"/>
      </w:pPr>
      <w:r>
        <w:rPr>
          <w:sz w:val="24"/>
        </w:rPr>
      </w:r>
    </w:p>
    <w:p>
      <w:pPr>
        <w:pStyle w:val="0"/>
        <w:jc w:val="right"/>
        <w:outlineLvl w:val="1"/>
      </w:pPr>
      <w:r>
        <w:rPr>
          <w:sz w:val="24"/>
        </w:rPr>
        <w:t xml:space="preserve">Приложение 1</w:t>
      </w:r>
    </w:p>
    <w:p>
      <w:pPr>
        <w:pStyle w:val="0"/>
        <w:jc w:val="right"/>
      </w:pPr>
      <w:r>
        <w:rPr>
          <w:sz w:val="24"/>
        </w:rPr>
        <w:t xml:space="preserve">к Порядку предоставления грантов</w:t>
      </w:r>
    </w:p>
    <w:p>
      <w:pPr>
        <w:pStyle w:val="0"/>
        <w:jc w:val="right"/>
      </w:pPr>
      <w:r>
        <w:rPr>
          <w:sz w:val="24"/>
        </w:rPr>
        <w:t xml:space="preserve">в форме субсидий победителям конкурса</w:t>
      </w:r>
    </w:p>
    <w:p>
      <w:pPr>
        <w:pStyle w:val="0"/>
        <w:jc w:val="right"/>
      </w:pPr>
      <w:r>
        <w:rPr>
          <w:sz w:val="24"/>
        </w:rPr>
        <w:t xml:space="preserve">проектов (программ) в сфере профилактики</w:t>
      </w:r>
    </w:p>
    <w:p>
      <w:pPr>
        <w:pStyle w:val="0"/>
        <w:jc w:val="right"/>
      </w:pPr>
      <w:r>
        <w:rPr>
          <w:sz w:val="24"/>
        </w:rPr>
        <w:t xml:space="preserve">незаконного потребления наркотических средств,</w:t>
      </w:r>
    </w:p>
    <w:p>
      <w:pPr>
        <w:pStyle w:val="0"/>
        <w:jc w:val="right"/>
      </w:pPr>
      <w:r>
        <w:rPr>
          <w:sz w:val="24"/>
        </w:rPr>
        <w:t xml:space="preserve">психотропных веществ, антинаркотической пропаганды</w:t>
      </w:r>
    </w:p>
    <w:p>
      <w:pPr>
        <w:pStyle w:val="0"/>
        <w:jc w:val="center"/>
      </w:pPr>
      <w:r>
        <w:rPr>
          <w:sz w:val="24"/>
        </w:rPr>
      </w:r>
    </w:p>
    <w:bookmarkStart w:id="325" w:name="P325"/>
    <w:bookmarkEnd w:id="325"/>
    <w:p>
      <w:pPr>
        <w:pStyle w:val="2"/>
        <w:jc w:val="center"/>
      </w:pPr>
      <w:r>
        <w:rPr>
          <w:sz w:val="24"/>
        </w:rPr>
        <w:t xml:space="preserve">ТРЕБОВАНИЯ</w:t>
      </w:r>
    </w:p>
    <w:p>
      <w:pPr>
        <w:pStyle w:val="2"/>
        <w:jc w:val="center"/>
      </w:pPr>
      <w:r>
        <w:rPr>
          <w:sz w:val="24"/>
        </w:rPr>
        <w:t xml:space="preserve">К ПРОЕКТУ (ПРОГРАММЕ)</w:t>
      </w:r>
    </w:p>
    <w:p>
      <w:pPr>
        <w:spacing w:after="1"/>
      </w:pPr>
    </w:p>
    <w:tbl>
      <w:tblPr>
        <w:tblW w:w="5000" w:type="pct"/>
        <w:tblInd w:w="0" w:type="dxa"/>
        <w:tblBorders>
          <w:top w:val="none"/>
          <w:left w:val="none"/>
          <w:bottom w:val="none"/>
          <w:right w:val="none"/>
          <w:insideH w:val="none"/>
          <w:insideV w:val="none"/>
        </w:tblBorders>
      </w:tblPr>
      <w:tblGrid>
        <w:gridCol w:w="60"/>
        <w:gridCol w:w="113"/>
        <w:gridCol w:w="9921"/>
        <w:gridCol w:w="113"/>
      </w:tblGrid>
      <w:tr>
        <w:tc>
          <w:tcPr>
            <w:tcW w:w="60" w:type="dxa"/>
            <w:tcBorders>
              <w:top w:val="none"/>
              <w:left w:val="none"/>
              <w:bottom w:val="none"/>
              <w:right w:val="none"/>
            </w:tcBorders>
            <w:shd w:val="clear" w:fill="ced3f1"/>
            <w:tcMar>
              <w:left w:w="0" w:type="dxa"/>
              <w:top w:w="0" w:type="dxa"/>
              <w:right w:w="0" w:type="dxa"/>
              <w:bottom w:w="0" w:type="dxa"/>
            </w:tcMar>
          </w:tcPr>
          <w:p/>
        </w:tc>
        <w:tc>
          <w:tcPr>
            <w:tcW w:w="113" w:type="dxa"/>
            <w:tcBorders>
              <w:top w:val="none"/>
              <w:left w:val="none"/>
              <w:bottom w:val="none"/>
              <w:right w:val="none"/>
            </w:tcBorders>
            <w:shd w:val="clear" w:fill="f4f3f8"/>
            <w:tcMar>
              <w:left w:w="0" w:type="dxa"/>
              <w:top w:w="0" w:type="dxa"/>
              <w:right w:w="0" w:type="dxa"/>
              <w:bottom w:w="0" w:type="dxa"/>
            </w:tcMar>
          </w:tcPr>
          <w:p/>
        </w:tc>
        <w:tc>
          <w:tcPr>
            <w:tcW w:w="0" w:type="auto"/>
            <w:tcBorders>
              <w:top w:val="none"/>
              <w:left w:val="none"/>
              <w:bottom w:val="none"/>
              <w:right w:val="none"/>
            </w:tcBorders>
            <w:shd w:val="clear" w:fill="f4f3f8"/>
            <w:tcMar>
              <w:left w:w="0" w:type="dxa"/>
              <w:top w:w="113" w:type="dxa"/>
              <w:right w:w="0" w:type="dxa"/>
              <w:bottom w:w="113" w:type="dxa"/>
            </w:tcMar>
          </w:tcPr>
          <w:p>
            <w:pPr>
              <w:pStyle w:val="0"/>
              <w:jc w:val="center"/>
            </w:pPr>
            <w:r>
              <w:rPr>
                <w:color w:val="392c69"/>
                <w:sz w:val="24"/>
              </w:rPr>
              <w:t xml:space="preserve">Список изменяющих документов</w:t>
            </w:r>
          </w:p>
          <w:p>
            <w:pPr>
              <w:pStyle w:val="0"/>
              <w:jc w:val="center"/>
            </w:pPr>
            <w:r>
              <w:rPr>
                <w:color w:val="392c69"/>
                <w:sz w:val="24"/>
              </w:rPr>
              <w:t xml:space="preserve">(в ред. </w:t>
            </w:r>
            <w:r>
              <w:rPr>
                <w:color w:val="392c69"/>
                <w:sz w:val="24"/>
              </w:rPr>
              <w:t xml:space="preserve">постановления</w:t>
            </w:r>
            <w:r>
              <w:rPr>
                <w:color w:val="392c69"/>
                <w:sz w:val="24"/>
              </w:rPr>
              <w:t xml:space="preserve"> Администрации города Нижневартовска</w:t>
            </w:r>
          </w:p>
          <w:p>
            <w:pPr>
              <w:pStyle w:val="0"/>
              <w:jc w:val="center"/>
            </w:pPr>
            <w:r>
              <w:rPr>
                <w:color w:val="392c69"/>
                <w:sz w:val="24"/>
              </w:rPr>
              <w:t xml:space="preserve">от 17.06.2026 N 523)</w:t>
            </w:r>
          </w:p>
        </w:tc>
        <w:tc>
          <w:tcPr>
            <w:tcW w:w="113" w:type="dxa"/>
            <w:tcBorders>
              <w:top w:val="none"/>
              <w:left w:val="none"/>
              <w:bottom w:val="none"/>
              <w:right w:val="none"/>
            </w:tcBorders>
            <w:shd w:val="clear" w:fill="f4f3f8"/>
            <w:tcMar>
              <w:left w:w="0" w:type="dxa"/>
              <w:top w:w="0" w:type="dxa"/>
              <w:right w:w="0" w:type="dxa"/>
              <w:bottom w:w="0" w:type="dxa"/>
            </w:tcMar>
          </w:tcPr>
          <w:p/>
        </w:tc>
      </w:tr>
    </w:tbl>
    <w:p>
      <w:pPr>
        <w:pStyle w:val="0"/>
        <w:jc w:val="center"/>
      </w:pPr>
      <w:r>
        <w:rPr>
          <w:sz w:val="24"/>
        </w:rPr>
      </w:r>
    </w:p>
    <w:p>
      <w:pPr>
        <w:pStyle w:val="0"/>
        <w:ind w:firstLine="540"/>
        <w:jc w:val="both"/>
      </w:pPr>
      <w:r>
        <w:rPr>
          <w:sz w:val="24"/>
        </w:rPr>
        <w:t xml:space="preserve">Проект (программа) должен содержать:</w:t>
      </w:r>
    </w:p>
    <w:p>
      <w:pPr>
        <w:pStyle w:val="0"/>
        <w:spacing w:before="240"/>
        <w:ind w:firstLine="540"/>
        <w:jc w:val="both"/>
      </w:pPr>
      <w:r>
        <w:rPr>
          <w:sz w:val="24"/>
        </w:rPr>
        <w:t xml:space="preserve">1. Срок реализации проекта (программы) (даты начала и окончания срока реализации проекта (программы)). При этом дата окончания срока реализации проекта (программы) не может быть позднее 30 октября года, следующего за годом предоставления гранта.</w:t>
      </w:r>
    </w:p>
    <w:p>
      <w:pPr>
        <w:pStyle w:val="0"/>
        <w:jc w:val="both"/>
      </w:pPr>
      <w:r>
        <w:rPr>
          <w:sz w:val="24"/>
        </w:rPr>
        <w:t xml:space="preserve">(п. 1 в ред. </w:t>
      </w:r>
      <w:r>
        <w:rPr>
          <w:sz w:val="24"/>
        </w:rPr>
        <w:t xml:space="preserve">постановления</w:t>
      </w:r>
      <w:r>
        <w:rPr>
          <w:sz w:val="24"/>
        </w:rPr>
        <w:t xml:space="preserve"> Администрации города Нижневартовска от 17.06.2026 N 523)</w:t>
      </w:r>
    </w:p>
    <w:p>
      <w:pPr>
        <w:pStyle w:val="0"/>
        <w:spacing w:before="240"/>
        <w:ind w:firstLine="540"/>
        <w:jc w:val="both"/>
      </w:pPr>
      <w:r>
        <w:rPr>
          <w:sz w:val="24"/>
        </w:rPr>
        <w:t xml:space="preserve">2. Обоснование актуальности, практической и социальной значимости проекта (программы) (проблематика).</w:t>
      </w:r>
    </w:p>
    <w:p>
      <w:pPr>
        <w:pStyle w:val="0"/>
        <w:spacing w:before="240"/>
        <w:ind w:firstLine="540"/>
        <w:jc w:val="both"/>
      </w:pPr>
      <w:r>
        <w:rPr>
          <w:sz w:val="24"/>
        </w:rPr>
        <w:t xml:space="preserve">3. Цель проекта (программы).</w:t>
      </w:r>
    </w:p>
    <w:p>
      <w:pPr>
        <w:pStyle w:val="0"/>
        <w:spacing w:before="240"/>
        <w:ind w:firstLine="540"/>
        <w:jc w:val="both"/>
      </w:pPr>
      <w:r>
        <w:rPr>
          <w:sz w:val="24"/>
        </w:rPr>
        <w:t xml:space="preserve">Цель проекта (программы) - ожидаемый результат или желаемое состояние в развитии целевой группы на момент завершения реализации проекта (программы). Цель должна быть краткой по форме, конкретной и ясной по содержанию, измеримой, ограниченной по времени и достигнутой в сроки реализации проекта (программы).</w:t>
      </w:r>
    </w:p>
    <w:p>
      <w:pPr>
        <w:pStyle w:val="0"/>
        <w:spacing w:before="240"/>
        <w:ind w:firstLine="540"/>
        <w:jc w:val="both"/>
      </w:pPr>
      <w:r>
        <w:rPr>
          <w:sz w:val="24"/>
        </w:rPr>
        <w:t xml:space="preserve">4. Задачи проекта (программы).</w:t>
      </w:r>
    </w:p>
    <w:p>
      <w:pPr>
        <w:pStyle w:val="0"/>
        <w:spacing w:before="240"/>
        <w:ind w:firstLine="540"/>
        <w:jc w:val="both"/>
      </w:pPr>
      <w:r>
        <w:rPr>
          <w:sz w:val="24"/>
        </w:rPr>
        <w:t xml:space="preserve">Задачи проекта (программы) - конкретные шаги, которые необходимо выполнить для достижения цели проекта (программы). Задачи помогают детализировать поставленную цель, раскрывают ее объем и указывают на конкретные мероприятия, которые необходимо выполнить в ходе реализации проекта (программы), чтобы получить намеченный результат. Задачи должны быть конкретные и измеримые. При формировании плана мероприятий по достижению количественных значений результатов реализации проекта (программы) необходимо обеспечить привязку мероприятий плана к этим задачам.</w:t>
      </w:r>
    </w:p>
    <w:p>
      <w:pPr>
        <w:pStyle w:val="0"/>
        <w:spacing w:before="240"/>
        <w:ind w:firstLine="540"/>
        <w:jc w:val="both"/>
      </w:pPr>
      <w:r>
        <w:rPr>
          <w:sz w:val="24"/>
        </w:rPr>
        <w:t xml:space="preserve">5. Целевые группы проекта (программы).</w:t>
      </w:r>
    </w:p>
    <w:p>
      <w:pPr>
        <w:pStyle w:val="0"/>
        <w:spacing w:before="240"/>
        <w:ind w:firstLine="540"/>
        <w:jc w:val="both"/>
      </w:pPr>
      <w:r>
        <w:rPr>
          <w:sz w:val="24"/>
        </w:rPr>
        <w:t xml:space="preserve">Целевая группа - группа людей, на которую направлена реализация проекта (программы).</w:t>
      </w:r>
    </w:p>
    <w:p>
      <w:pPr>
        <w:pStyle w:val="0"/>
        <w:spacing w:before="240"/>
        <w:ind w:firstLine="540"/>
        <w:jc w:val="both"/>
      </w:pPr>
      <w:r>
        <w:rPr>
          <w:sz w:val="24"/>
        </w:rPr>
        <w:t xml:space="preserve">6. Масштабность проекта (программы) - количество участников из целевой группы, охваченных проектом (программой).</w:t>
      </w:r>
    </w:p>
    <w:p>
      <w:pPr>
        <w:pStyle w:val="0"/>
        <w:spacing w:before="240"/>
        <w:ind w:firstLine="540"/>
        <w:jc w:val="both"/>
      </w:pPr>
      <w:r>
        <w:rPr>
          <w:sz w:val="24"/>
        </w:rPr>
        <w:t xml:space="preserve">7. Описание проекта (программы).</w:t>
      </w:r>
    </w:p>
    <w:p>
      <w:pPr>
        <w:pStyle w:val="0"/>
        <w:spacing w:before="240"/>
        <w:ind w:firstLine="540"/>
        <w:jc w:val="both"/>
      </w:pPr>
      <w:r>
        <w:rPr>
          <w:sz w:val="24"/>
        </w:rPr>
        <w:t xml:space="preserve">Текстовое описание проекта (программы) должно отражать основную идею проекта (программы) и ее уникальность, целевую группу, содержание проекта (программы), наиболее значимые ожидаемые количественные и качественные результаты, перспективы дальнейшего развития проекта (программы).</w:t>
      </w:r>
    </w:p>
    <w:p>
      <w:pPr>
        <w:pStyle w:val="0"/>
        <w:spacing w:before="240"/>
        <w:ind w:firstLine="540"/>
        <w:jc w:val="both"/>
      </w:pPr>
      <w:r>
        <w:rPr>
          <w:sz w:val="24"/>
        </w:rPr>
        <w:t xml:space="preserve">Для членов конкурсной комиссии, оценивающих проект (программу), это поле должно содержать емкий и исчерпывающий ответ на вопрос "Что и для кого участник конкурса хочет сделать, на что будет израсходован полученный грант?". Необходимо описать, что будет сделано, как это будет осуществляться, когда и в какой последовательности, какие ресурсы будут привлечены для этого, как будет вовлекаться в проект (программу) целевая группа.</w:t>
      </w:r>
    </w:p>
    <w:p>
      <w:pPr>
        <w:pStyle w:val="0"/>
        <w:spacing w:before="240"/>
        <w:ind w:firstLine="540"/>
        <w:jc w:val="both"/>
      </w:pPr>
      <w:r>
        <w:rPr>
          <w:sz w:val="24"/>
        </w:rPr>
        <w:t xml:space="preserve">8. Сведения об информационном сопровождении проекта (программы).</w:t>
      </w:r>
    </w:p>
    <w:p>
      <w:pPr>
        <w:pStyle w:val="0"/>
        <w:spacing w:before="240"/>
        <w:ind w:firstLine="540"/>
        <w:jc w:val="both"/>
      </w:pPr>
      <w:r>
        <w:rPr>
          <w:sz w:val="24"/>
        </w:rPr>
        <w:t xml:space="preserve">Следует указать, каким образом будет обеспечено освещение проекта (программы) в целом и его ключевых мероприятий в средствах массовой информации и информационно-телекоммуникационной сети "Интернет".</w:t>
      </w:r>
    </w:p>
    <w:p>
      <w:pPr>
        <w:pStyle w:val="0"/>
        <w:spacing w:before="240"/>
        <w:ind w:firstLine="540"/>
        <w:jc w:val="both"/>
      </w:pPr>
      <w:r>
        <w:rPr>
          <w:sz w:val="24"/>
        </w:rPr>
        <w:t xml:space="preserve">9. Ожидаемые качественные результаты реализации проекта (программы), эффективность проекта (программы).</w:t>
      </w:r>
    </w:p>
    <w:p>
      <w:pPr>
        <w:pStyle w:val="0"/>
        <w:spacing w:before="240"/>
        <w:ind w:firstLine="540"/>
        <w:jc w:val="both"/>
      </w:pPr>
      <w:r>
        <w:rPr>
          <w:sz w:val="24"/>
        </w:rPr>
        <w:t xml:space="preserve">Следует указать конкретные, измеримые в числовых значениях результаты; соотношение планируемых расходов на реализацию проекта (программы) и его ожидаемых результатов; результаты, которые планируется достичь за период реализации проекта (программы) и которые должны решать заявленную проблему.</w:t>
      </w:r>
    </w:p>
    <w:p>
      <w:pPr>
        <w:pStyle w:val="0"/>
        <w:spacing w:before="240"/>
        <w:ind w:firstLine="540"/>
        <w:jc w:val="both"/>
      </w:pPr>
      <w:r>
        <w:rPr>
          <w:sz w:val="24"/>
        </w:rPr>
        <w:t xml:space="preserve">10. Количественные результаты реализации проекта (программы): количество мероприятий, направленных на реализацию проекта (программы); количество участников мероприятий, направленных на реализацию проекта (программы).</w:t>
      </w:r>
    </w:p>
    <w:p>
      <w:pPr>
        <w:pStyle w:val="0"/>
        <w:spacing w:before="240"/>
        <w:ind w:firstLine="540"/>
        <w:jc w:val="both"/>
      </w:pPr>
      <w:r>
        <w:rPr>
          <w:sz w:val="24"/>
        </w:rPr>
        <w:t xml:space="preserve">Количество мероприятий и количество участников мероприятий является обязательным показателем достижения результата предоставления гранта и не может меняться в зависимости от суммы полученного гранта.</w:t>
      </w:r>
    </w:p>
    <w:p>
      <w:pPr>
        <w:pStyle w:val="0"/>
        <w:spacing w:before="240"/>
        <w:ind w:firstLine="540"/>
        <w:jc w:val="both"/>
      </w:pPr>
      <w:r>
        <w:rPr>
          <w:sz w:val="24"/>
        </w:rPr>
        <w:t xml:space="preserve">11. Экономическая целесообразность проекта (программы) - соотношение планируемых затрат на реализацию проекта (программы) и его ожидаемых результатов.</w:t>
      </w:r>
    </w:p>
    <w:p>
      <w:pPr>
        <w:pStyle w:val="0"/>
        <w:spacing w:before="240"/>
        <w:ind w:firstLine="540"/>
        <w:jc w:val="both"/>
      </w:pPr>
      <w:r>
        <w:rPr>
          <w:sz w:val="24"/>
        </w:rPr>
        <w:t xml:space="preserve">12. Инновационный подход при реализации проекта (программы).</w:t>
      </w:r>
    </w:p>
    <w:p>
      <w:pPr>
        <w:pStyle w:val="0"/>
        <w:spacing w:before="240"/>
        <w:ind w:firstLine="540"/>
        <w:jc w:val="both"/>
      </w:pPr>
      <w:r>
        <w:rPr>
          <w:sz w:val="24"/>
        </w:rPr>
        <w:t xml:space="preserve">Использование оригинальных, нестандартных идей и методов при реализации проекта (программы).</w:t>
      </w:r>
    </w:p>
    <w:p>
      <w:pPr>
        <w:pStyle w:val="0"/>
        <w:ind w:firstLine="540"/>
        <w:jc w:val="both"/>
      </w:pPr>
      <w:r>
        <w:rPr>
          <w:sz w:val="24"/>
        </w:rPr>
      </w:r>
    </w:p>
    <w:p>
      <w:pPr>
        <w:pStyle w:val="0"/>
        <w:ind w:firstLine="540"/>
        <w:jc w:val="both"/>
      </w:pPr>
      <w:r>
        <w:rPr>
          <w:sz w:val="24"/>
        </w:rPr>
      </w:r>
    </w:p>
    <w:p>
      <w:pPr>
        <w:pStyle w:val="0"/>
        <w:ind w:firstLine="540"/>
        <w:jc w:val="both"/>
      </w:pPr>
      <w:r>
        <w:rPr>
          <w:sz w:val="24"/>
        </w:rPr>
      </w:r>
    </w:p>
    <w:p>
      <w:pPr>
        <w:pStyle w:val="0"/>
        <w:ind w:firstLine="540"/>
        <w:jc w:val="both"/>
      </w:pPr>
      <w:r>
        <w:rPr>
          <w:sz w:val="24"/>
        </w:rPr>
      </w:r>
    </w:p>
    <w:p>
      <w:pPr>
        <w:pStyle w:val="0"/>
        <w:ind w:firstLine="540"/>
        <w:jc w:val="both"/>
      </w:pPr>
      <w:r>
        <w:rPr>
          <w:sz w:val="24"/>
        </w:rPr>
      </w:r>
    </w:p>
    <w:p>
      <w:pPr>
        <w:pStyle w:val="0"/>
        <w:jc w:val="right"/>
        <w:outlineLvl w:val="1"/>
      </w:pPr>
      <w:r>
        <w:rPr>
          <w:sz w:val="24"/>
        </w:rPr>
        <w:t xml:space="preserve">Приложение 2</w:t>
      </w:r>
    </w:p>
    <w:p>
      <w:pPr>
        <w:pStyle w:val="0"/>
        <w:jc w:val="right"/>
      </w:pPr>
      <w:r>
        <w:rPr>
          <w:sz w:val="24"/>
        </w:rPr>
        <w:t xml:space="preserve">к Порядку предоставления грантов</w:t>
      </w:r>
    </w:p>
    <w:p>
      <w:pPr>
        <w:pStyle w:val="0"/>
        <w:jc w:val="right"/>
      </w:pPr>
      <w:r>
        <w:rPr>
          <w:sz w:val="24"/>
        </w:rPr>
        <w:t xml:space="preserve">в форме субсидий победителям конкурса</w:t>
      </w:r>
    </w:p>
    <w:p>
      <w:pPr>
        <w:pStyle w:val="0"/>
        <w:jc w:val="right"/>
      </w:pPr>
      <w:r>
        <w:rPr>
          <w:sz w:val="24"/>
        </w:rPr>
        <w:t xml:space="preserve">проектов (программ) в сфере профилактики</w:t>
      </w:r>
    </w:p>
    <w:p>
      <w:pPr>
        <w:pStyle w:val="0"/>
        <w:jc w:val="right"/>
      </w:pPr>
      <w:r>
        <w:rPr>
          <w:sz w:val="24"/>
        </w:rPr>
        <w:t xml:space="preserve">незаконного потребления наркотических средств,</w:t>
      </w:r>
    </w:p>
    <w:p>
      <w:pPr>
        <w:pStyle w:val="0"/>
        <w:jc w:val="right"/>
      </w:pPr>
      <w:r>
        <w:rPr>
          <w:sz w:val="24"/>
        </w:rPr>
        <w:t xml:space="preserve">психотропных веществ, антинаркотической пропаганды</w:t>
      </w:r>
    </w:p>
    <w:p>
      <w:pPr>
        <w:pStyle w:val="0"/>
        <w:jc w:val="center"/>
      </w:pPr>
      <w:r>
        <w:rPr>
          <w:sz w:val="24"/>
        </w:rPr>
      </w:r>
    </w:p>
    <w:bookmarkStart w:id="366" w:name="P366"/>
    <w:bookmarkEnd w:id="366"/>
    <w:p>
      <w:pPr>
        <w:pStyle w:val="0"/>
        <w:jc w:val="center"/>
      </w:pPr>
      <w:r>
        <w:rPr>
          <w:sz w:val="24"/>
        </w:rPr>
        <w:t xml:space="preserve">Информационная карта проекта (программы)</w:t>
      </w:r>
    </w:p>
    <w:p>
      <w:pPr>
        <w:pStyle w:val="0"/>
        <w:jc w:val="center"/>
      </w:pPr>
      <w:r>
        <w:rPr>
          <w:sz w:val="24"/>
        </w:rPr>
      </w:r>
    </w:p>
    <w:tbl>
      <w:tblPr>
        <w:tblInd w:w="0" w:type="dxa"/>
        <w:tblBorders>
          <w:top w:val="single" w:sz="4"/>
          <w:left w:val="single" w:sz="4"/>
          <w:bottom w:val="single" w:sz="4"/>
          <w:right w:val="single" w:sz="4"/>
          <w:insideH w:val="single" w:sz="4"/>
          <w:insideV w:val="single" w:sz="4"/>
        </w:tblBorders>
        <w:tblLayout w:type="fixed"/>
        <w:tblCellMar>
          <w:left w:w="62" w:type="dxa"/>
          <w:top w:w="102" w:type="dxa"/>
          <w:right w:w="62" w:type="dxa"/>
          <w:bottom w:w="102" w:type="dxa"/>
        </w:tblCellMar>
      </w:tblPr>
      <w:tblGrid>
        <w:gridCol w:w="624"/>
        <w:gridCol w:w="4422"/>
        <w:gridCol w:w="4025"/>
      </w:tblGrid>
      <w:tr>
        <w:tc>
          <w:tcPr>
            <w:tcW w:w="624" w:type="dxa"/>
          </w:tcPr>
          <w:p>
            <w:pPr>
              <w:pStyle w:val="0"/>
              <w:jc w:val="center"/>
            </w:pPr>
            <w:r>
              <w:rPr>
                <w:sz w:val="24"/>
              </w:rPr>
              <w:t xml:space="preserve">1.</w:t>
            </w:r>
          </w:p>
        </w:tc>
        <w:tc>
          <w:tcPr>
            <w:tcW w:w="4422" w:type="dxa"/>
          </w:tcPr>
          <w:p>
            <w:pPr>
              <w:pStyle w:val="0"/>
              <w:jc w:val="both"/>
            </w:pPr>
            <w:r>
              <w:rPr>
                <w:sz w:val="24"/>
              </w:rPr>
              <w:t xml:space="preserve">Наименование участника конкурса</w:t>
            </w:r>
          </w:p>
        </w:tc>
        <w:tc>
          <w:tcPr>
            <w:tcW w:w="4025" w:type="dxa"/>
          </w:tcPr>
          <w:p>
            <w:pPr>
              <w:pStyle w:val="0"/>
              <w:jc w:val="both"/>
            </w:pPr>
            <w:r>
              <w:rPr>
                <w:sz w:val="24"/>
              </w:rPr>
            </w:r>
          </w:p>
        </w:tc>
      </w:tr>
      <w:tr>
        <w:tc>
          <w:tcPr>
            <w:tcW w:w="624" w:type="dxa"/>
          </w:tcPr>
          <w:p>
            <w:pPr>
              <w:pStyle w:val="0"/>
              <w:jc w:val="center"/>
            </w:pPr>
            <w:r>
              <w:rPr>
                <w:sz w:val="24"/>
              </w:rPr>
              <w:t xml:space="preserve">2.</w:t>
            </w:r>
          </w:p>
        </w:tc>
        <w:tc>
          <w:tcPr>
            <w:tcW w:w="4422" w:type="dxa"/>
          </w:tcPr>
          <w:p>
            <w:pPr>
              <w:pStyle w:val="0"/>
              <w:jc w:val="both"/>
            </w:pPr>
            <w:r>
              <w:rPr>
                <w:sz w:val="24"/>
              </w:rPr>
              <w:t xml:space="preserve">Название проекта (программы)</w:t>
            </w:r>
          </w:p>
        </w:tc>
        <w:tc>
          <w:tcPr>
            <w:tcW w:w="4025" w:type="dxa"/>
          </w:tcPr>
          <w:p>
            <w:pPr>
              <w:pStyle w:val="0"/>
              <w:jc w:val="both"/>
            </w:pPr>
            <w:r>
              <w:rPr>
                <w:sz w:val="24"/>
              </w:rPr>
            </w:r>
          </w:p>
        </w:tc>
      </w:tr>
      <w:tr>
        <w:tc>
          <w:tcPr>
            <w:tcW w:w="624" w:type="dxa"/>
          </w:tcPr>
          <w:p>
            <w:pPr>
              <w:pStyle w:val="0"/>
              <w:jc w:val="center"/>
            </w:pPr>
            <w:r>
              <w:rPr>
                <w:sz w:val="24"/>
              </w:rPr>
              <w:t xml:space="preserve">3.</w:t>
            </w:r>
          </w:p>
        </w:tc>
        <w:tc>
          <w:tcPr>
            <w:tcW w:w="4422" w:type="dxa"/>
          </w:tcPr>
          <w:p>
            <w:pPr>
              <w:pStyle w:val="0"/>
              <w:jc w:val="both"/>
            </w:pPr>
            <w:r>
              <w:rPr>
                <w:sz w:val="24"/>
              </w:rPr>
              <w:t xml:space="preserve">Место проведения мероприятий проекта (программы)</w:t>
            </w:r>
          </w:p>
        </w:tc>
        <w:tc>
          <w:tcPr>
            <w:tcW w:w="4025" w:type="dxa"/>
          </w:tcPr>
          <w:p>
            <w:pPr>
              <w:pStyle w:val="0"/>
              <w:jc w:val="both"/>
            </w:pPr>
            <w:r>
              <w:rPr>
                <w:sz w:val="24"/>
              </w:rPr>
            </w:r>
          </w:p>
        </w:tc>
      </w:tr>
      <w:tr>
        <w:tc>
          <w:tcPr>
            <w:tcW w:w="624" w:type="dxa"/>
          </w:tcPr>
          <w:p>
            <w:pPr>
              <w:pStyle w:val="0"/>
              <w:jc w:val="center"/>
            </w:pPr>
            <w:r>
              <w:rPr>
                <w:sz w:val="24"/>
              </w:rPr>
              <w:t xml:space="preserve">4.</w:t>
            </w:r>
          </w:p>
        </w:tc>
        <w:tc>
          <w:tcPr>
            <w:tcW w:w="4422" w:type="dxa"/>
          </w:tcPr>
          <w:p>
            <w:pPr>
              <w:pStyle w:val="0"/>
              <w:jc w:val="both"/>
            </w:pPr>
            <w:r>
              <w:rPr>
                <w:sz w:val="24"/>
              </w:rPr>
              <w:t xml:space="preserve">Срок реализации проекта (программы) (даты начала и окончания срока реализации проекта (программы)) &lt;1&gt;</w:t>
            </w:r>
          </w:p>
        </w:tc>
        <w:tc>
          <w:tcPr>
            <w:tcW w:w="4025" w:type="dxa"/>
          </w:tcPr>
          <w:p>
            <w:pPr>
              <w:pStyle w:val="0"/>
              <w:jc w:val="both"/>
            </w:pPr>
            <w:r>
              <w:rPr>
                <w:sz w:val="24"/>
              </w:rPr>
            </w:r>
          </w:p>
        </w:tc>
      </w:tr>
      <w:tr>
        <w:tc>
          <w:tcPr>
            <w:tcW w:w="624" w:type="dxa"/>
          </w:tcPr>
          <w:p>
            <w:pPr>
              <w:pStyle w:val="0"/>
              <w:jc w:val="center"/>
            </w:pPr>
            <w:r>
              <w:rPr>
                <w:sz w:val="24"/>
              </w:rPr>
              <w:t xml:space="preserve">5.</w:t>
            </w:r>
          </w:p>
        </w:tc>
        <w:tc>
          <w:tcPr>
            <w:tcW w:w="4422" w:type="dxa"/>
          </w:tcPr>
          <w:p>
            <w:pPr>
              <w:pStyle w:val="0"/>
              <w:jc w:val="both"/>
            </w:pPr>
            <w:r>
              <w:rPr>
                <w:sz w:val="24"/>
              </w:rPr>
              <w:t xml:space="preserve">Информация о команде проекта (программы) (фамилия, имя, отчество (последнее - при наличии)), номер контактного телефона</w:t>
            </w:r>
          </w:p>
        </w:tc>
        <w:tc>
          <w:tcPr>
            <w:tcW w:w="4025" w:type="dxa"/>
          </w:tcPr>
          <w:p>
            <w:pPr>
              <w:pStyle w:val="0"/>
              <w:jc w:val="both"/>
            </w:pPr>
            <w:r>
              <w:rPr>
                <w:sz w:val="24"/>
              </w:rPr>
            </w:r>
          </w:p>
        </w:tc>
      </w:tr>
      <w:tr>
        <w:tc>
          <w:tcPr>
            <w:tcW w:w="624" w:type="dxa"/>
          </w:tcPr>
          <w:p>
            <w:pPr>
              <w:pStyle w:val="0"/>
              <w:jc w:val="center"/>
            </w:pPr>
            <w:r>
              <w:rPr>
                <w:sz w:val="24"/>
              </w:rPr>
              <w:t xml:space="preserve">6.</w:t>
            </w:r>
          </w:p>
        </w:tc>
        <w:tc>
          <w:tcPr>
            <w:tcW w:w="4422" w:type="dxa"/>
          </w:tcPr>
          <w:p>
            <w:pPr>
              <w:pStyle w:val="0"/>
              <w:jc w:val="both"/>
            </w:pPr>
            <w:r>
              <w:rPr>
                <w:sz w:val="24"/>
              </w:rPr>
              <w:t xml:space="preserve">Общая сумма планируемых расходов на реализацию проекта (программы)</w:t>
            </w:r>
          </w:p>
        </w:tc>
        <w:tc>
          <w:tcPr>
            <w:tcW w:w="4025" w:type="dxa"/>
          </w:tcPr>
          <w:p>
            <w:pPr>
              <w:pStyle w:val="0"/>
              <w:jc w:val="both"/>
            </w:pPr>
            <w:r>
              <w:rPr>
                <w:sz w:val="24"/>
              </w:rPr>
            </w:r>
          </w:p>
        </w:tc>
      </w:tr>
      <w:tr>
        <w:tc>
          <w:tcPr>
            <w:tcW w:w="624" w:type="dxa"/>
          </w:tcPr>
          <w:p>
            <w:pPr>
              <w:pStyle w:val="0"/>
              <w:jc w:val="center"/>
            </w:pPr>
            <w:r>
              <w:rPr>
                <w:sz w:val="24"/>
              </w:rPr>
              <w:t xml:space="preserve">7.</w:t>
            </w:r>
          </w:p>
        </w:tc>
        <w:tc>
          <w:tcPr>
            <w:tcW w:w="4422" w:type="dxa"/>
          </w:tcPr>
          <w:p>
            <w:pPr>
              <w:pStyle w:val="0"/>
              <w:jc w:val="both"/>
            </w:pPr>
            <w:r>
              <w:rPr>
                <w:sz w:val="24"/>
              </w:rPr>
              <w:t xml:space="preserve">Цель и задачи проекта (программы)</w:t>
            </w:r>
          </w:p>
        </w:tc>
        <w:tc>
          <w:tcPr>
            <w:tcW w:w="4025" w:type="dxa"/>
          </w:tcPr>
          <w:p>
            <w:pPr>
              <w:pStyle w:val="0"/>
              <w:jc w:val="both"/>
            </w:pPr>
            <w:r>
              <w:rPr>
                <w:sz w:val="24"/>
              </w:rPr>
            </w:r>
          </w:p>
        </w:tc>
      </w:tr>
      <w:tr>
        <w:tc>
          <w:tcPr>
            <w:tcW w:w="624" w:type="dxa"/>
          </w:tcPr>
          <w:p>
            <w:pPr>
              <w:pStyle w:val="0"/>
              <w:jc w:val="center"/>
            </w:pPr>
            <w:r>
              <w:rPr>
                <w:sz w:val="24"/>
              </w:rPr>
              <w:t xml:space="preserve">8.</w:t>
            </w:r>
          </w:p>
        </w:tc>
        <w:tc>
          <w:tcPr>
            <w:tcW w:w="4422" w:type="dxa"/>
          </w:tcPr>
          <w:p>
            <w:pPr>
              <w:pStyle w:val="0"/>
              <w:jc w:val="both"/>
            </w:pPr>
            <w:r>
              <w:rPr>
                <w:sz w:val="24"/>
              </w:rPr>
              <w:t xml:space="preserve">Целевые группы проекта (программы)</w:t>
            </w:r>
          </w:p>
        </w:tc>
        <w:tc>
          <w:tcPr>
            <w:tcW w:w="4025" w:type="dxa"/>
          </w:tcPr>
          <w:p>
            <w:pPr>
              <w:pStyle w:val="0"/>
              <w:jc w:val="both"/>
            </w:pPr>
            <w:r>
              <w:rPr>
                <w:sz w:val="24"/>
              </w:rPr>
            </w:r>
          </w:p>
        </w:tc>
      </w:tr>
      <w:tr>
        <w:tc>
          <w:tcPr>
            <w:tcW w:w="624" w:type="dxa"/>
            <w:vMerge w:val="restart"/>
          </w:tcPr>
          <w:p>
            <w:pPr>
              <w:pStyle w:val="0"/>
              <w:jc w:val="center"/>
            </w:pPr>
            <w:r>
              <w:rPr>
                <w:sz w:val="24"/>
              </w:rPr>
              <w:t xml:space="preserve">9.</w:t>
            </w:r>
          </w:p>
        </w:tc>
        <w:tc>
          <w:tcPr>
            <w:tcW w:w="4422" w:type="dxa"/>
          </w:tcPr>
          <w:p>
            <w:pPr>
              <w:pStyle w:val="0"/>
              <w:jc w:val="both"/>
            </w:pPr>
            <w:r>
              <w:rPr>
                <w:sz w:val="24"/>
              </w:rPr>
              <w:t xml:space="preserve">Количественные результаты реализации проекта (программы) &lt;2&gt;</w:t>
            </w:r>
          </w:p>
        </w:tc>
        <w:tc>
          <w:tcPr>
            <w:tcW w:w="4025" w:type="dxa"/>
          </w:tcPr>
          <w:p>
            <w:pPr>
              <w:pStyle w:val="0"/>
              <w:jc w:val="both"/>
            </w:pPr>
            <w:r>
              <w:rPr>
                <w:sz w:val="24"/>
              </w:rPr>
            </w:r>
          </w:p>
        </w:tc>
      </w:tr>
      <w:tr>
        <w:tc>
          <w:tcPr>
            <w:vMerge w:val="continue"/>
          </w:tcPr>
          <w:p/>
        </w:tc>
        <w:tc>
          <w:tcPr>
            <w:tcW w:w="4422" w:type="dxa"/>
          </w:tcPr>
          <w:p>
            <w:pPr>
              <w:pStyle w:val="0"/>
              <w:jc w:val="both"/>
            </w:pPr>
            <w:r>
              <w:rPr>
                <w:sz w:val="24"/>
              </w:rPr>
              <w:t xml:space="preserve">количество мероприятий, направленных на реализацию проекта (программы)</w:t>
            </w:r>
          </w:p>
        </w:tc>
        <w:tc>
          <w:tcPr>
            <w:tcW w:w="4025" w:type="dxa"/>
          </w:tcPr>
          <w:p>
            <w:pPr>
              <w:pStyle w:val="0"/>
              <w:jc w:val="both"/>
            </w:pPr>
            <w:r>
              <w:rPr>
                <w:sz w:val="24"/>
              </w:rPr>
            </w:r>
          </w:p>
        </w:tc>
      </w:tr>
      <w:tr>
        <w:tc>
          <w:tcPr>
            <w:vMerge w:val="continue"/>
          </w:tcPr>
          <w:p/>
        </w:tc>
        <w:tc>
          <w:tcPr>
            <w:tcW w:w="4422" w:type="dxa"/>
          </w:tcPr>
          <w:p>
            <w:pPr>
              <w:pStyle w:val="0"/>
              <w:jc w:val="both"/>
            </w:pPr>
            <w:r>
              <w:rPr>
                <w:sz w:val="24"/>
              </w:rPr>
              <w:t xml:space="preserve">количество участников мероприятий, направленных на реализацию проекта (программы)</w:t>
            </w:r>
          </w:p>
        </w:tc>
        <w:tc>
          <w:tcPr>
            <w:tcW w:w="4025" w:type="dxa"/>
          </w:tcPr>
          <w:p>
            <w:pPr>
              <w:pStyle w:val="0"/>
              <w:jc w:val="both"/>
            </w:pPr>
            <w:r>
              <w:rPr>
                <w:sz w:val="24"/>
              </w:rPr>
            </w:r>
          </w:p>
        </w:tc>
      </w:tr>
      <w:tr>
        <w:tc>
          <w:tcPr>
            <w:tcW w:w="624" w:type="dxa"/>
          </w:tcPr>
          <w:p>
            <w:pPr>
              <w:pStyle w:val="0"/>
              <w:jc w:val="center"/>
            </w:pPr>
            <w:r>
              <w:rPr>
                <w:sz w:val="24"/>
              </w:rPr>
              <w:t xml:space="preserve">10.</w:t>
            </w:r>
          </w:p>
        </w:tc>
        <w:tc>
          <w:tcPr>
            <w:tcW w:w="4422" w:type="dxa"/>
          </w:tcPr>
          <w:p>
            <w:pPr>
              <w:pStyle w:val="0"/>
              <w:jc w:val="both"/>
            </w:pPr>
            <w:r>
              <w:rPr>
                <w:sz w:val="24"/>
              </w:rPr>
              <w:t xml:space="preserve">Используемые технологии и формы работы с целевыми группами проекта (программы)</w:t>
            </w:r>
          </w:p>
        </w:tc>
        <w:tc>
          <w:tcPr>
            <w:tcW w:w="4025" w:type="dxa"/>
          </w:tcPr>
          <w:p>
            <w:pPr>
              <w:pStyle w:val="0"/>
              <w:jc w:val="both"/>
            </w:pPr>
            <w:r>
              <w:rPr>
                <w:sz w:val="24"/>
              </w:rPr>
            </w:r>
          </w:p>
        </w:tc>
      </w:tr>
      <w:tr>
        <w:tc>
          <w:tcPr>
            <w:tcW w:w="624" w:type="dxa"/>
          </w:tcPr>
          <w:p>
            <w:pPr>
              <w:pStyle w:val="0"/>
              <w:jc w:val="center"/>
            </w:pPr>
            <w:r>
              <w:rPr>
                <w:sz w:val="24"/>
              </w:rPr>
              <w:t xml:space="preserve">11.</w:t>
            </w:r>
          </w:p>
        </w:tc>
        <w:tc>
          <w:tcPr>
            <w:tcW w:w="4422" w:type="dxa"/>
          </w:tcPr>
          <w:p>
            <w:pPr>
              <w:pStyle w:val="0"/>
              <w:jc w:val="both"/>
            </w:pPr>
            <w:r>
              <w:rPr>
                <w:sz w:val="24"/>
              </w:rPr>
              <w:t xml:space="preserve">Информационное сопровождение проекта (программы) (освещение в средствах массовой информации и информационно-телекоммуникационной сети "Интернет")</w:t>
            </w:r>
          </w:p>
        </w:tc>
        <w:tc>
          <w:tcPr>
            <w:tcW w:w="4025" w:type="dxa"/>
          </w:tcPr>
          <w:p>
            <w:pPr>
              <w:pStyle w:val="0"/>
              <w:jc w:val="both"/>
            </w:pPr>
            <w:r>
              <w:rPr>
                <w:sz w:val="24"/>
              </w:rPr>
            </w:r>
          </w:p>
        </w:tc>
      </w:tr>
    </w:tbl>
    <w:p>
      <w:pPr>
        <w:pStyle w:val="0"/>
        <w:ind w:firstLine="540"/>
        <w:jc w:val="both"/>
      </w:pPr>
      <w:r>
        <w:rPr>
          <w:sz w:val="24"/>
        </w:rPr>
      </w:r>
    </w:p>
    <w:p>
      <w:pPr>
        <w:pStyle w:val="0"/>
        <w:ind w:firstLine="540"/>
        <w:jc w:val="both"/>
      </w:pPr>
      <w:r>
        <w:rPr>
          <w:sz w:val="24"/>
        </w:rPr>
        <w:t xml:space="preserve">--------------------------------</w:t>
      </w:r>
    </w:p>
    <w:p>
      <w:pPr>
        <w:pStyle w:val="0"/>
        <w:spacing w:before="240"/>
        <w:ind w:firstLine="540"/>
        <w:jc w:val="both"/>
      </w:pPr>
      <w:r>
        <w:rPr>
          <w:sz w:val="24"/>
        </w:rPr>
        <w:t xml:space="preserve">&lt;1&gt; Реализация проекта (программы) в установленный срок является обязательным условием предоставления гранта победителю конкурса.</w:t>
      </w:r>
    </w:p>
    <w:p>
      <w:pPr>
        <w:pStyle w:val="0"/>
        <w:spacing w:before="240"/>
        <w:ind w:firstLine="540"/>
        <w:jc w:val="both"/>
      </w:pPr>
      <w:r>
        <w:rPr>
          <w:sz w:val="24"/>
        </w:rPr>
        <w:t xml:space="preserve">&lt;2&gt; Количество мероприятий и количество участников мероприятий является обязательным показателем достижения результата предоставления гранта.</w:t>
      </w:r>
    </w:p>
    <w:p>
      <w:pPr>
        <w:pStyle w:val="0"/>
        <w:ind w:firstLine="540"/>
        <w:jc w:val="both"/>
      </w:pPr>
      <w:r>
        <w:rPr>
          <w:sz w:val="24"/>
        </w:rPr>
      </w:r>
    </w:p>
    <w:p>
      <w:pPr>
        <w:pStyle w:val="0"/>
        <w:ind w:firstLine="540"/>
        <w:jc w:val="both"/>
      </w:pPr>
      <w:r>
        <w:rPr>
          <w:sz w:val="24"/>
        </w:rPr>
      </w:r>
    </w:p>
    <w:p>
      <w:pPr>
        <w:pStyle w:val="0"/>
        <w:ind w:firstLine="540"/>
        <w:jc w:val="both"/>
      </w:pPr>
      <w:r>
        <w:rPr>
          <w:sz w:val="24"/>
        </w:rPr>
      </w:r>
    </w:p>
    <w:p>
      <w:pPr>
        <w:pStyle w:val="0"/>
        <w:ind w:firstLine="540"/>
        <w:jc w:val="both"/>
      </w:pPr>
      <w:r>
        <w:rPr>
          <w:sz w:val="24"/>
        </w:rPr>
      </w:r>
    </w:p>
    <w:p>
      <w:pPr>
        <w:pStyle w:val="0"/>
        <w:ind w:firstLine="540"/>
        <w:jc w:val="both"/>
      </w:pPr>
      <w:r>
        <w:rPr>
          <w:sz w:val="24"/>
        </w:rPr>
      </w:r>
    </w:p>
    <w:p>
      <w:pPr>
        <w:pStyle w:val="0"/>
        <w:jc w:val="right"/>
        <w:outlineLvl w:val="1"/>
      </w:pPr>
      <w:r>
        <w:rPr>
          <w:sz w:val="24"/>
        </w:rPr>
        <w:t xml:space="preserve">Приложение 3</w:t>
      </w:r>
    </w:p>
    <w:p>
      <w:pPr>
        <w:pStyle w:val="0"/>
        <w:jc w:val="right"/>
      </w:pPr>
      <w:r>
        <w:rPr>
          <w:sz w:val="24"/>
        </w:rPr>
        <w:t xml:space="preserve">к Порядку предоставления грантов</w:t>
      </w:r>
    </w:p>
    <w:p>
      <w:pPr>
        <w:pStyle w:val="0"/>
        <w:jc w:val="right"/>
      </w:pPr>
      <w:r>
        <w:rPr>
          <w:sz w:val="24"/>
        </w:rPr>
        <w:t xml:space="preserve">в форме субсидий победителям конкурса</w:t>
      </w:r>
    </w:p>
    <w:p>
      <w:pPr>
        <w:pStyle w:val="0"/>
        <w:jc w:val="right"/>
      </w:pPr>
      <w:r>
        <w:rPr>
          <w:sz w:val="24"/>
        </w:rPr>
        <w:t xml:space="preserve">проектов (программ) в сфере профилактики</w:t>
      </w:r>
    </w:p>
    <w:p>
      <w:pPr>
        <w:pStyle w:val="0"/>
        <w:jc w:val="right"/>
      </w:pPr>
      <w:r>
        <w:rPr>
          <w:sz w:val="24"/>
        </w:rPr>
        <w:t xml:space="preserve">незаконного потребления наркотических средств,</w:t>
      </w:r>
    </w:p>
    <w:p>
      <w:pPr>
        <w:pStyle w:val="0"/>
        <w:jc w:val="right"/>
      </w:pPr>
      <w:r>
        <w:rPr>
          <w:sz w:val="24"/>
        </w:rPr>
        <w:t xml:space="preserve">психотропных веществ, антинаркотической пропаганды</w:t>
      </w:r>
    </w:p>
    <w:p>
      <w:pPr>
        <w:spacing w:after="1"/>
      </w:pPr>
    </w:p>
    <w:tbl>
      <w:tblPr>
        <w:tblW w:w="5000" w:type="pct"/>
        <w:tblInd w:w="0" w:type="dxa"/>
        <w:tblBorders>
          <w:top w:val="none"/>
          <w:left w:val="none"/>
          <w:bottom w:val="none"/>
          <w:right w:val="none"/>
          <w:insideH w:val="none"/>
          <w:insideV w:val="none"/>
        </w:tblBorders>
      </w:tblPr>
      <w:tblGrid>
        <w:gridCol w:w="60"/>
        <w:gridCol w:w="113"/>
        <w:gridCol w:w="9921"/>
        <w:gridCol w:w="113"/>
      </w:tblGrid>
      <w:tr>
        <w:tc>
          <w:tcPr>
            <w:tcW w:w="60" w:type="dxa"/>
            <w:tcBorders>
              <w:top w:val="none"/>
              <w:left w:val="none"/>
              <w:bottom w:val="none"/>
              <w:right w:val="none"/>
            </w:tcBorders>
            <w:shd w:val="clear" w:fill="ced3f1"/>
            <w:tcMar>
              <w:left w:w="0" w:type="dxa"/>
              <w:top w:w="0" w:type="dxa"/>
              <w:right w:w="0" w:type="dxa"/>
              <w:bottom w:w="0" w:type="dxa"/>
            </w:tcMar>
          </w:tcPr>
          <w:p/>
        </w:tc>
        <w:tc>
          <w:tcPr>
            <w:tcW w:w="113" w:type="dxa"/>
            <w:tcBorders>
              <w:top w:val="none"/>
              <w:left w:val="none"/>
              <w:bottom w:val="none"/>
              <w:right w:val="none"/>
            </w:tcBorders>
            <w:shd w:val="clear" w:fill="f4f3f8"/>
            <w:tcMar>
              <w:left w:w="0" w:type="dxa"/>
              <w:top w:w="0" w:type="dxa"/>
              <w:right w:w="0" w:type="dxa"/>
              <w:bottom w:w="0" w:type="dxa"/>
            </w:tcMar>
          </w:tcPr>
          <w:p/>
        </w:tc>
        <w:tc>
          <w:tcPr>
            <w:tcW w:w="0" w:type="auto"/>
            <w:tcBorders>
              <w:top w:val="none"/>
              <w:left w:val="none"/>
              <w:bottom w:val="none"/>
              <w:right w:val="none"/>
            </w:tcBorders>
            <w:shd w:val="clear" w:fill="f4f3f8"/>
            <w:tcMar>
              <w:left w:w="0" w:type="dxa"/>
              <w:top w:w="113" w:type="dxa"/>
              <w:right w:w="0" w:type="dxa"/>
              <w:bottom w:w="113" w:type="dxa"/>
            </w:tcMar>
          </w:tcPr>
          <w:p>
            <w:pPr>
              <w:pStyle w:val="0"/>
              <w:jc w:val="center"/>
            </w:pPr>
            <w:r>
              <w:rPr>
                <w:color w:val="392c69"/>
                <w:sz w:val="24"/>
              </w:rPr>
              <w:t xml:space="preserve">Список изменяющих документов</w:t>
            </w:r>
          </w:p>
          <w:p>
            <w:pPr>
              <w:pStyle w:val="0"/>
              <w:jc w:val="center"/>
            </w:pPr>
            <w:r>
              <w:rPr>
                <w:color w:val="392c69"/>
                <w:sz w:val="24"/>
              </w:rPr>
              <w:t xml:space="preserve">(в ред. </w:t>
            </w:r>
            <w:r>
              <w:rPr>
                <w:color w:val="392c69"/>
                <w:sz w:val="24"/>
              </w:rPr>
              <w:t xml:space="preserve">постановления</w:t>
            </w:r>
            <w:r>
              <w:rPr>
                <w:color w:val="392c69"/>
                <w:sz w:val="24"/>
              </w:rPr>
              <w:t xml:space="preserve"> Администрации города Нижневартовска</w:t>
            </w:r>
          </w:p>
          <w:p>
            <w:pPr>
              <w:pStyle w:val="0"/>
              <w:jc w:val="center"/>
            </w:pPr>
            <w:r>
              <w:rPr>
                <w:color w:val="392c69"/>
                <w:sz w:val="24"/>
              </w:rPr>
              <w:t xml:space="preserve">от 17.06.2026 N 523)</w:t>
            </w:r>
          </w:p>
        </w:tc>
        <w:tc>
          <w:tcPr>
            <w:tcW w:w="113" w:type="dxa"/>
            <w:tcBorders>
              <w:top w:val="none"/>
              <w:left w:val="none"/>
              <w:bottom w:val="none"/>
              <w:right w:val="none"/>
            </w:tcBorders>
            <w:shd w:val="clear" w:fill="f4f3f8"/>
            <w:tcMar>
              <w:left w:w="0" w:type="dxa"/>
              <w:top w:w="0" w:type="dxa"/>
              <w:right w:w="0" w:type="dxa"/>
              <w:bottom w:w="0" w:type="dxa"/>
            </w:tcMar>
          </w:tcPr>
          <w:p/>
        </w:tc>
      </w:tr>
    </w:tbl>
    <w:p>
      <w:pPr>
        <w:pStyle w:val="0"/>
        <w:jc w:val="center"/>
      </w:pPr>
      <w:r>
        <w:rPr>
          <w:sz w:val="24"/>
        </w:rPr>
      </w:r>
    </w:p>
    <w:bookmarkStart w:id="424" w:name="P424"/>
    <w:bookmarkEnd w:id="424"/>
    <w:p>
      <w:pPr>
        <w:pStyle w:val="0"/>
        <w:jc w:val="center"/>
      </w:pPr>
      <w:r>
        <w:rPr>
          <w:sz w:val="24"/>
        </w:rPr>
        <w:t xml:space="preserve">План</w:t>
      </w:r>
    </w:p>
    <w:p>
      <w:pPr>
        <w:pStyle w:val="0"/>
        <w:jc w:val="center"/>
      </w:pPr>
      <w:r>
        <w:rPr>
          <w:sz w:val="24"/>
        </w:rPr>
        <w:t xml:space="preserve">мероприятий по достижению количественных значений</w:t>
      </w:r>
    </w:p>
    <w:p>
      <w:pPr>
        <w:pStyle w:val="0"/>
        <w:jc w:val="center"/>
      </w:pPr>
      <w:r>
        <w:rPr>
          <w:sz w:val="24"/>
        </w:rPr>
        <w:t xml:space="preserve">результатов реализации проекта (программы)</w:t>
      </w:r>
    </w:p>
    <w:p>
      <w:pPr>
        <w:pStyle w:val="0"/>
        <w:jc w:val="center"/>
      </w:pPr>
      <w:r>
        <w:rPr>
          <w:sz w:val="24"/>
        </w:rPr>
      </w:r>
    </w:p>
    <w:tbl>
      <w:tblPr>
        <w:tblInd w:w="0" w:type="dxa"/>
        <w:tblBorders>
          <w:top w:val="single" w:sz="4"/>
          <w:left w:val="single" w:sz="4"/>
          <w:bottom w:val="single" w:sz="4"/>
          <w:right w:val="single" w:sz="4"/>
          <w:insideH w:val="single" w:sz="4"/>
          <w:insideV w:val="single" w:sz="4"/>
        </w:tblBorders>
        <w:tblLayout w:type="fixed"/>
        <w:tblCellMar>
          <w:left w:w="62" w:type="dxa"/>
          <w:top w:w="102" w:type="dxa"/>
          <w:right w:w="62" w:type="dxa"/>
          <w:bottom w:w="102" w:type="dxa"/>
        </w:tblCellMar>
      </w:tblPr>
      <w:tblGrid>
        <w:gridCol w:w="567"/>
        <w:gridCol w:w="2891"/>
        <w:gridCol w:w="2665"/>
        <w:gridCol w:w="2948"/>
      </w:tblGrid>
      <w:tr>
        <w:tc>
          <w:tcPr>
            <w:tcW w:w="567" w:type="dxa"/>
          </w:tcPr>
          <w:p>
            <w:pPr>
              <w:pStyle w:val="0"/>
              <w:jc w:val="center"/>
            </w:pPr>
            <w:r>
              <w:rPr>
                <w:sz w:val="24"/>
              </w:rPr>
              <w:t xml:space="preserve">N</w:t>
            </w:r>
          </w:p>
          <w:p>
            <w:pPr>
              <w:pStyle w:val="0"/>
              <w:jc w:val="center"/>
            </w:pPr>
            <w:r>
              <w:rPr>
                <w:sz w:val="24"/>
              </w:rPr>
              <w:t xml:space="preserve">п/п</w:t>
            </w:r>
          </w:p>
        </w:tc>
        <w:tc>
          <w:tcPr>
            <w:tcW w:w="2891" w:type="dxa"/>
          </w:tcPr>
          <w:p>
            <w:pPr>
              <w:pStyle w:val="0"/>
              <w:jc w:val="center"/>
            </w:pPr>
            <w:r>
              <w:rPr>
                <w:sz w:val="24"/>
              </w:rPr>
              <w:t xml:space="preserve">Период</w:t>
            </w:r>
          </w:p>
          <w:p>
            <w:pPr>
              <w:pStyle w:val="0"/>
              <w:jc w:val="center"/>
            </w:pPr>
            <w:r>
              <w:rPr>
                <w:sz w:val="24"/>
              </w:rPr>
              <w:t xml:space="preserve">проведения мероприятий,</w:t>
            </w:r>
          </w:p>
          <w:p>
            <w:pPr>
              <w:pStyle w:val="0"/>
              <w:jc w:val="center"/>
            </w:pPr>
            <w:r>
              <w:rPr>
                <w:sz w:val="24"/>
              </w:rPr>
              <w:t xml:space="preserve">направленных на реализацию</w:t>
            </w:r>
          </w:p>
          <w:p>
            <w:pPr>
              <w:pStyle w:val="0"/>
              <w:jc w:val="center"/>
            </w:pPr>
            <w:r>
              <w:rPr>
                <w:sz w:val="24"/>
              </w:rPr>
              <w:t xml:space="preserve">проекта (программы)</w:t>
            </w:r>
          </w:p>
          <w:p>
            <w:pPr>
              <w:pStyle w:val="0"/>
              <w:jc w:val="center"/>
            </w:pPr>
            <w:r>
              <w:rPr>
                <w:sz w:val="24"/>
              </w:rPr>
              <w:t xml:space="preserve">(поквартально)</w:t>
            </w:r>
          </w:p>
        </w:tc>
        <w:tc>
          <w:tcPr>
            <w:tcW w:w="2665" w:type="dxa"/>
          </w:tcPr>
          <w:p>
            <w:pPr>
              <w:pStyle w:val="0"/>
              <w:jc w:val="center"/>
            </w:pPr>
            <w:r>
              <w:rPr>
                <w:sz w:val="24"/>
              </w:rPr>
              <w:t xml:space="preserve">Количество мероприятий,</w:t>
            </w:r>
          </w:p>
          <w:p>
            <w:pPr>
              <w:pStyle w:val="0"/>
              <w:jc w:val="center"/>
            </w:pPr>
            <w:r>
              <w:rPr>
                <w:sz w:val="24"/>
              </w:rPr>
              <w:t xml:space="preserve">направленных</w:t>
            </w:r>
          </w:p>
          <w:p>
            <w:pPr>
              <w:pStyle w:val="0"/>
              <w:jc w:val="center"/>
            </w:pPr>
            <w:r>
              <w:rPr>
                <w:sz w:val="24"/>
              </w:rPr>
              <w:t xml:space="preserve">на реализацию</w:t>
            </w:r>
          </w:p>
          <w:p>
            <w:pPr>
              <w:pStyle w:val="0"/>
              <w:jc w:val="center"/>
            </w:pPr>
            <w:r>
              <w:rPr>
                <w:sz w:val="24"/>
              </w:rPr>
              <w:t xml:space="preserve">проекта (программы),</w:t>
            </w:r>
          </w:p>
          <w:p>
            <w:pPr>
              <w:pStyle w:val="0"/>
              <w:jc w:val="center"/>
            </w:pPr>
            <w:r>
              <w:rPr>
                <w:sz w:val="24"/>
              </w:rPr>
              <w:t xml:space="preserve">их краткое содержание</w:t>
            </w:r>
          </w:p>
        </w:tc>
        <w:tc>
          <w:tcPr>
            <w:tcW w:w="2948" w:type="dxa"/>
          </w:tcPr>
          <w:p>
            <w:pPr>
              <w:pStyle w:val="0"/>
              <w:jc w:val="center"/>
            </w:pPr>
            <w:r>
              <w:rPr>
                <w:sz w:val="24"/>
              </w:rPr>
              <w:t xml:space="preserve">Количество</w:t>
            </w:r>
          </w:p>
          <w:p>
            <w:pPr>
              <w:pStyle w:val="0"/>
              <w:jc w:val="center"/>
            </w:pPr>
            <w:r>
              <w:rPr>
                <w:sz w:val="24"/>
              </w:rPr>
              <w:t xml:space="preserve">участников мероприятий,</w:t>
            </w:r>
          </w:p>
          <w:p>
            <w:pPr>
              <w:pStyle w:val="0"/>
              <w:jc w:val="center"/>
            </w:pPr>
            <w:r>
              <w:rPr>
                <w:sz w:val="24"/>
              </w:rPr>
              <w:t xml:space="preserve">направленных на реализацию</w:t>
            </w:r>
          </w:p>
          <w:p>
            <w:pPr>
              <w:pStyle w:val="0"/>
              <w:jc w:val="center"/>
            </w:pPr>
            <w:r>
              <w:rPr>
                <w:sz w:val="24"/>
              </w:rPr>
              <w:t xml:space="preserve">проекта (программы),</w:t>
            </w:r>
          </w:p>
          <w:p>
            <w:pPr>
              <w:pStyle w:val="0"/>
              <w:jc w:val="center"/>
            </w:pPr>
            <w:r>
              <w:rPr>
                <w:sz w:val="24"/>
              </w:rPr>
              <w:t xml:space="preserve">из целевой группы</w:t>
            </w:r>
          </w:p>
          <w:p>
            <w:pPr>
              <w:pStyle w:val="0"/>
              <w:jc w:val="center"/>
            </w:pPr>
            <w:r>
              <w:rPr>
                <w:sz w:val="24"/>
              </w:rPr>
              <w:t xml:space="preserve">проекта (программы)</w:t>
            </w:r>
          </w:p>
        </w:tc>
      </w:tr>
      <w:tr>
        <w:tc>
          <w:tcPr>
            <w:tcW w:w="567" w:type="dxa"/>
          </w:tcPr>
          <w:p>
            <w:pPr>
              <w:pStyle w:val="0"/>
            </w:pPr>
            <w:r>
              <w:rPr>
                <w:sz w:val="24"/>
              </w:rPr>
            </w:r>
          </w:p>
        </w:tc>
        <w:tc>
          <w:tcPr>
            <w:tcW w:w="2891" w:type="dxa"/>
          </w:tcPr>
          <w:p>
            <w:pPr>
              <w:pStyle w:val="0"/>
            </w:pPr>
            <w:r>
              <w:rPr>
                <w:sz w:val="24"/>
              </w:rPr>
              <w:t xml:space="preserve">__ квартал 20___</w:t>
            </w:r>
          </w:p>
        </w:tc>
        <w:tc>
          <w:tcPr>
            <w:tcW w:w="2665" w:type="dxa"/>
          </w:tcPr>
          <w:p>
            <w:pPr>
              <w:pStyle w:val="0"/>
            </w:pPr>
            <w:r>
              <w:rPr>
                <w:sz w:val="24"/>
              </w:rPr>
            </w:r>
          </w:p>
        </w:tc>
        <w:tc>
          <w:tcPr>
            <w:tcW w:w="2948" w:type="dxa"/>
          </w:tcPr>
          <w:p>
            <w:pPr>
              <w:pStyle w:val="0"/>
            </w:pPr>
            <w:r>
              <w:rPr>
                <w:sz w:val="24"/>
              </w:rPr>
            </w:r>
          </w:p>
        </w:tc>
      </w:tr>
      <w:tr>
        <w:tc>
          <w:tcPr>
            <w:tcW w:w="567" w:type="dxa"/>
          </w:tcPr>
          <w:p>
            <w:pPr>
              <w:pStyle w:val="0"/>
            </w:pPr>
            <w:r>
              <w:rPr>
                <w:sz w:val="24"/>
              </w:rPr>
            </w:r>
          </w:p>
        </w:tc>
        <w:tc>
          <w:tcPr>
            <w:tcW w:w="2891" w:type="dxa"/>
          </w:tcPr>
          <w:p>
            <w:pPr>
              <w:pStyle w:val="0"/>
            </w:pPr>
            <w:r>
              <w:rPr>
                <w:sz w:val="24"/>
              </w:rPr>
              <w:t xml:space="preserve">__ квартал 20___</w:t>
            </w:r>
          </w:p>
        </w:tc>
        <w:tc>
          <w:tcPr>
            <w:tcW w:w="2665" w:type="dxa"/>
          </w:tcPr>
          <w:p>
            <w:pPr>
              <w:pStyle w:val="0"/>
            </w:pPr>
            <w:r>
              <w:rPr>
                <w:sz w:val="24"/>
              </w:rPr>
            </w:r>
          </w:p>
        </w:tc>
        <w:tc>
          <w:tcPr>
            <w:tcW w:w="2948" w:type="dxa"/>
          </w:tcPr>
          <w:p>
            <w:pPr>
              <w:pStyle w:val="0"/>
            </w:pPr>
            <w:r>
              <w:rPr>
                <w:sz w:val="24"/>
              </w:rPr>
            </w:r>
          </w:p>
        </w:tc>
      </w:tr>
      <w:tr>
        <w:tc>
          <w:tcPr>
            <w:tcW w:w="567" w:type="dxa"/>
          </w:tcPr>
          <w:p>
            <w:pPr>
              <w:pStyle w:val="0"/>
            </w:pPr>
            <w:r>
              <w:rPr>
                <w:sz w:val="24"/>
              </w:rPr>
            </w:r>
          </w:p>
        </w:tc>
        <w:tc>
          <w:tcPr>
            <w:tcW w:w="2891" w:type="dxa"/>
          </w:tcPr>
          <w:p>
            <w:pPr>
              <w:pStyle w:val="0"/>
            </w:pPr>
            <w:r>
              <w:rPr>
                <w:sz w:val="24"/>
              </w:rPr>
              <w:t xml:space="preserve">__ квартал 20___</w:t>
            </w:r>
          </w:p>
        </w:tc>
        <w:tc>
          <w:tcPr>
            <w:tcW w:w="2665" w:type="dxa"/>
          </w:tcPr>
          <w:p>
            <w:pPr>
              <w:pStyle w:val="0"/>
            </w:pPr>
            <w:r>
              <w:rPr>
                <w:sz w:val="24"/>
              </w:rPr>
            </w:r>
          </w:p>
        </w:tc>
        <w:tc>
          <w:tcPr>
            <w:tcW w:w="2948" w:type="dxa"/>
          </w:tcPr>
          <w:p>
            <w:pPr>
              <w:pStyle w:val="0"/>
            </w:pPr>
            <w:r>
              <w:rPr>
                <w:sz w:val="24"/>
              </w:rPr>
            </w:r>
          </w:p>
        </w:tc>
      </w:tr>
      <w:tr>
        <w:tc>
          <w:tcPr>
            <w:tcW w:w="567" w:type="dxa"/>
          </w:tcPr>
          <w:p>
            <w:pPr>
              <w:pStyle w:val="0"/>
            </w:pPr>
            <w:r>
              <w:rPr>
                <w:sz w:val="24"/>
              </w:rPr>
            </w:r>
          </w:p>
        </w:tc>
        <w:tc>
          <w:tcPr>
            <w:tcW w:w="2891" w:type="dxa"/>
          </w:tcPr>
          <w:p>
            <w:pPr>
              <w:pStyle w:val="0"/>
            </w:pPr>
            <w:r>
              <w:rPr>
                <w:sz w:val="24"/>
              </w:rPr>
              <w:t xml:space="preserve">__ квартал 20___</w:t>
            </w:r>
          </w:p>
        </w:tc>
        <w:tc>
          <w:tcPr>
            <w:tcW w:w="2665" w:type="dxa"/>
          </w:tcPr>
          <w:p>
            <w:pPr>
              <w:pStyle w:val="0"/>
            </w:pPr>
            <w:r>
              <w:rPr>
                <w:sz w:val="24"/>
              </w:rPr>
            </w:r>
          </w:p>
        </w:tc>
        <w:tc>
          <w:tcPr>
            <w:tcW w:w="2948" w:type="dxa"/>
          </w:tcPr>
          <w:p>
            <w:pPr>
              <w:pStyle w:val="0"/>
            </w:pPr>
            <w:r>
              <w:rPr>
                <w:sz w:val="24"/>
              </w:rPr>
            </w:r>
          </w:p>
        </w:tc>
      </w:tr>
    </w:tbl>
    <w:p>
      <w:pPr>
        <w:pStyle w:val="0"/>
        <w:ind w:firstLine="540"/>
        <w:jc w:val="both"/>
      </w:pPr>
      <w:r>
        <w:rPr>
          <w:sz w:val="24"/>
        </w:rPr>
      </w:r>
    </w:p>
    <w:p>
      <w:pPr>
        <w:pStyle w:val="0"/>
        <w:ind w:firstLine="540"/>
        <w:jc w:val="both"/>
      </w:pPr>
      <w:r>
        <w:rPr>
          <w:sz w:val="24"/>
        </w:rPr>
      </w:r>
    </w:p>
    <w:p>
      <w:pPr>
        <w:pStyle w:val="0"/>
        <w:ind w:firstLine="540"/>
        <w:jc w:val="both"/>
      </w:pPr>
      <w:r>
        <w:rPr>
          <w:sz w:val="24"/>
        </w:rPr>
      </w:r>
    </w:p>
    <w:p>
      <w:pPr>
        <w:pStyle w:val="0"/>
        <w:ind w:firstLine="540"/>
        <w:jc w:val="both"/>
      </w:pPr>
      <w:r>
        <w:rPr>
          <w:sz w:val="24"/>
        </w:rPr>
      </w:r>
    </w:p>
    <w:p>
      <w:pPr>
        <w:pStyle w:val="0"/>
        <w:ind w:firstLine="540"/>
        <w:jc w:val="both"/>
      </w:pPr>
      <w:r>
        <w:rPr>
          <w:sz w:val="24"/>
        </w:rPr>
      </w:r>
    </w:p>
    <w:p>
      <w:pPr>
        <w:pStyle w:val="0"/>
        <w:jc w:val="right"/>
        <w:outlineLvl w:val="1"/>
      </w:pPr>
      <w:r>
        <w:rPr>
          <w:sz w:val="24"/>
        </w:rPr>
        <w:t xml:space="preserve">Приложение 4</w:t>
      </w:r>
    </w:p>
    <w:p>
      <w:pPr>
        <w:pStyle w:val="0"/>
        <w:jc w:val="right"/>
      </w:pPr>
      <w:r>
        <w:rPr>
          <w:sz w:val="24"/>
        </w:rPr>
        <w:t xml:space="preserve">к Порядку предоставления грантов</w:t>
      </w:r>
    </w:p>
    <w:p>
      <w:pPr>
        <w:pStyle w:val="0"/>
        <w:jc w:val="right"/>
      </w:pPr>
      <w:r>
        <w:rPr>
          <w:sz w:val="24"/>
        </w:rPr>
        <w:t xml:space="preserve">в форме субсидий победителям конкурса</w:t>
      </w:r>
    </w:p>
    <w:p>
      <w:pPr>
        <w:pStyle w:val="0"/>
        <w:jc w:val="right"/>
      </w:pPr>
      <w:r>
        <w:rPr>
          <w:sz w:val="24"/>
        </w:rPr>
        <w:t xml:space="preserve">проектов (программ) в сфере профилактики</w:t>
      </w:r>
    </w:p>
    <w:p>
      <w:pPr>
        <w:pStyle w:val="0"/>
        <w:jc w:val="right"/>
      </w:pPr>
      <w:r>
        <w:rPr>
          <w:sz w:val="24"/>
        </w:rPr>
        <w:t xml:space="preserve">незаконного потребления наркотических средств,</w:t>
      </w:r>
    </w:p>
    <w:p>
      <w:pPr>
        <w:pStyle w:val="0"/>
        <w:jc w:val="right"/>
      </w:pPr>
      <w:r>
        <w:rPr>
          <w:sz w:val="24"/>
        </w:rPr>
        <w:t xml:space="preserve">психотропных веществ, антинаркотической пропаганды</w:t>
      </w:r>
    </w:p>
    <w:p>
      <w:pPr>
        <w:pStyle w:val="0"/>
        <w:jc w:val="center"/>
      </w:pPr>
      <w:r>
        <w:rPr>
          <w:sz w:val="24"/>
        </w:rPr>
      </w:r>
    </w:p>
    <w:bookmarkStart w:id="474" w:name="P474"/>
    <w:bookmarkEnd w:id="474"/>
    <w:p>
      <w:pPr>
        <w:pStyle w:val="0"/>
        <w:jc w:val="center"/>
      </w:pPr>
      <w:r>
        <w:rPr>
          <w:sz w:val="24"/>
        </w:rPr>
        <w:t xml:space="preserve">Перечень</w:t>
      </w:r>
    </w:p>
    <w:p>
      <w:pPr>
        <w:pStyle w:val="0"/>
        <w:jc w:val="center"/>
      </w:pPr>
      <w:r>
        <w:rPr>
          <w:sz w:val="24"/>
        </w:rPr>
        <w:t xml:space="preserve">предполагаемых затрат,</w:t>
      </w:r>
    </w:p>
    <w:p>
      <w:pPr>
        <w:pStyle w:val="0"/>
        <w:jc w:val="center"/>
      </w:pPr>
      <w:r>
        <w:rPr>
          <w:sz w:val="24"/>
        </w:rPr>
        <w:t xml:space="preserve">направленных на реализацию проекта (программы)</w:t>
      </w:r>
    </w:p>
    <w:p>
      <w:pPr>
        <w:pStyle w:val="0"/>
        <w:jc w:val="center"/>
      </w:pPr>
      <w:r>
        <w:rPr>
          <w:sz w:val="24"/>
        </w:rPr>
      </w:r>
    </w:p>
    <w:p>
      <w:pPr>
        <w:pStyle w:val="0"/>
        <w:ind w:firstLine="540"/>
        <w:jc w:val="both"/>
      </w:pPr>
      <w:r>
        <w:rPr>
          <w:sz w:val="24"/>
        </w:rPr>
        <w:t xml:space="preserve">Наименование участника конкурса: ___________________________</w:t>
      </w:r>
    </w:p>
    <w:p>
      <w:pPr>
        <w:pStyle w:val="0"/>
        <w:spacing w:before="240"/>
        <w:ind w:firstLine="540"/>
        <w:jc w:val="both"/>
      </w:pPr>
      <w:r>
        <w:rPr>
          <w:sz w:val="24"/>
        </w:rPr>
        <w:t xml:space="preserve">Наименование проекта (программы): __________________________</w:t>
      </w:r>
    </w:p>
    <w:p>
      <w:pPr>
        <w:pStyle w:val="0"/>
        <w:ind w:firstLine="540"/>
        <w:jc w:val="both"/>
      </w:pPr>
      <w:r>
        <w:rPr>
          <w:sz w:val="24"/>
        </w:rPr>
      </w:r>
    </w:p>
    <w:tbl>
      <w:tblPr>
        <w:tblInd w:w="0" w:type="dxa"/>
        <w:tblBorders>
          <w:top w:val="single" w:sz="4"/>
          <w:left w:val="single" w:sz="4"/>
          <w:bottom w:val="single" w:sz="4"/>
          <w:right w:val="single" w:sz="4"/>
          <w:insideH w:val="single" w:sz="4"/>
          <w:insideV w:val="single" w:sz="4"/>
        </w:tblBorders>
        <w:tblLayout w:type="fixed"/>
        <w:tblCellMar>
          <w:left w:w="62" w:type="dxa"/>
          <w:top w:w="102" w:type="dxa"/>
          <w:right w:w="62" w:type="dxa"/>
          <w:bottom w:w="102" w:type="dxa"/>
        </w:tblCellMar>
      </w:tblPr>
      <w:tblGrid>
        <w:gridCol w:w="5499"/>
        <w:gridCol w:w="964"/>
        <w:gridCol w:w="1474"/>
        <w:gridCol w:w="1134"/>
      </w:tblGrid>
      <w:tr>
        <w:tc>
          <w:tcPr>
            <w:tcW w:w="5499" w:type="dxa"/>
          </w:tcPr>
          <w:p>
            <w:pPr>
              <w:pStyle w:val="0"/>
              <w:jc w:val="center"/>
            </w:pPr>
            <w:r>
              <w:rPr>
                <w:sz w:val="24"/>
              </w:rPr>
              <w:t xml:space="preserve">Наименование расходов</w:t>
            </w:r>
          </w:p>
        </w:tc>
        <w:tc>
          <w:tcPr>
            <w:tcW w:w="964" w:type="dxa"/>
          </w:tcPr>
          <w:p>
            <w:pPr>
              <w:pStyle w:val="0"/>
              <w:jc w:val="center"/>
            </w:pPr>
            <w:r>
              <w:rPr>
                <w:sz w:val="24"/>
              </w:rPr>
              <w:t xml:space="preserve">Код строки</w:t>
            </w:r>
          </w:p>
        </w:tc>
        <w:tc>
          <w:tcPr>
            <w:tcW w:w="1474" w:type="dxa"/>
          </w:tcPr>
          <w:p>
            <w:pPr>
              <w:pStyle w:val="0"/>
              <w:jc w:val="center"/>
            </w:pPr>
            <w:r>
              <w:rPr>
                <w:sz w:val="24"/>
              </w:rPr>
              <w:t xml:space="preserve">Код направления расходов</w:t>
            </w:r>
          </w:p>
        </w:tc>
        <w:tc>
          <w:tcPr>
            <w:tcW w:w="1134" w:type="dxa"/>
          </w:tcPr>
          <w:p>
            <w:pPr>
              <w:pStyle w:val="0"/>
              <w:jc w:val="center"/>
            </w:pPr>
            <w:r>
              <w:rPr>
                <w:sz w:val="24"/>
              </w:rPr>
              <w:t xml:space="preserve">Всего</w:t>
            </w:r>
          </w:p>
        </w:tc>
      </w:tr>
      <w:tr>
        <w:tc>
          <w:tcPr>
            <w:tcW w:w="5499" w:type="dxa"/>
          </w:tcPr>
          <w:p>
            <w:pPr>
              <w:pStyle w:val="0"/>
              <w:jc w:val="center"/>
            </w:pPr>
            <w:r>
              <w:rPr>
                <w:sz w:val="24"/>
              </w:rPr>
              <w:t xml:space="preserve">1</w:t>
            </w:r>
          </w:p>
        </w:tc>
        <w:tc>
          <w:tcPr>
            <w:tcW w:w="964" w:type="dxa"/>
          </w:tcPr>
          <w:p>
            <w:pPr>
              <w:pStyle w:val="0"/>
              <w:jc w:val="center"/>
            </w:pPr>
            <w:r>
              <w:rPr>
                <w:sz w:val="24"/>
              </w:rPr>
              <w:t xml:space="preserve">2</w:t>
            </w:r>
          </w:p>
        </w:tc>
        <w:tc>
          <w:tcPr>
            <w:tcW w:w="1474" w:type="dxa"/>
          </w:tcPr>
          <w:p>
            <w:pPr>
              <w:pStyle w:val="0"/>
              <w:jc w:val="center"/>
            </w:pPr>
            <w:r>
              <w:rPr>
                <w:sz w:val="24"/>
              </w:rPr>
              <w:t xml:space="preserve">3</w:t>
            </w:r>
          </w:p>
        </w:tc>
        <w:tc>
          <w:tcPr>
            <w:tcW w:w="1134" w:type="dxa"/>
          </w:tcPr>
          <w:p>
            <w:pPr>
              <w:pStyle w:val="0"/>
              <w:jc w:val="center"/>
            </w:pPr>
            <w:r>
              <w:rPr>
                <w:sz w:val="24"/>
              </w:rPr>
              <w:t xml:space="preserve">4</w:t>
            </w:r>
          </w:p>
        </w:tc>
      </w:tr>
      <w:tr>
        <w:tc>
          <w:tcPr>
            <w:tcW w:w="5499" w:type="dxa"/>
          </w:tcPr>
          <w:p>
            <w:pPr>
              <w:pStyle w:val="0"/>
              <w:jc w:val="both"/>
            </w:pPr>
            <w:r>
              <w:rPr>
                <w:sz w:val="24"/>
              </w:rPr>
              <w:t xml:space="preserve">Поступило средств:</w:t>
            </w:r>
          </w:p>
        </w:tc>
        <w:tc>
          <w:tcPr>
            <w:tcW w:w="964" w:type="dxa"/>
          </w:tcPr>
          <w:p>
            <w:pPr>
              <w:pStyle w:val="0"/>
              <w:jc w:val="center"/>
            </w:pPr>
            <w:r>
              <w:rPr>
                <w:sz w:val="24"/>
              </w:rPr>
              <w:t xml:space="preserve">200</w:t>
            </w:r>
          </w:p>
        </w:tc>
        <w:tc>
          <w:tcPr>
            <w:tcW w:w="1474" w:type="dxa"/>
          </w:tcPr>
          <w:p>
            <w:pPr>
              <w:pStyle w:val="0"/>
              <w:jc w:val="center"/>
            </w:pPr>
            <w:r>
              <w:rPr>
                <w:sz w:val="24"/>
              </w:rPr>
            </w:r>
          </w:p>
        </w:tc>
        <w:tc>
          <w:tcPr>
            <w:tcW w:w="1134" w:type="dxa"/>
          </w:tcPr>
          <w:p>
            <w:pPr>
              <w:pStyle w:val="0"/>
              <w:jc w:val="center"/>
            </w:pPr>
            <w:r>
              <w:rPr>
                <w:sz w:val="24"/>
              </w:rPr>
            </w:r>
          </w:p>
        </w:tc>
      </w:tr>
      <w:tr>
        <w:tc>
          <w:tcPr>
            <w:tcW w:w="5499" w:type="dxa"/>
          </w:tcPr>
          <w:p>
            <w:pPr>
              <w:pStyle w:val="0"/>
              <w:jc w:val="both"/>
            </w:pPr>
            <w:r>
              <w:rPr>
                <w:sz w:val="24"/>
              </w:rPr>
              <w:t xml:space="preserve">Выплаты по расходам, всего:</w:t>
            </w:r>
          </w:p>
        </w:tc>
        <w:tc>
          <w:tcPr>
            <w:tcW w:w="964" w:type="dxa"/>
          </w:tcPr>
          <w:p>
            <w:pPr>
              <w:pStyle w:val="0"/>
              <w:jc w:val="center"/>
            </w:pPr>
            <w:r>
              <w:rPr>
                <w:sz w:val="24"/>
              </w:rPr>
              <w:t xml:space="preserve">300</w:t>
            </w:r>
          </w:p>
        </w:tc>
        <w:tc>
          <w:tcPr>
            <w:tcW w:w="1474" w:type="dxa"/>
          </w:tcPr>
          <w:p>
            <w:pPr>
              <w:pStyle w:val="0"/>
              <w:jc w:val="center"/>
            </w:pPr>
            <w:r>
              <w:rPr>
                <w:sz w:val="24"/>
              </w:rPr>
            </w:r>
          </w:p>
        </w:tc>
        <w:tc>
          <w:tcPr>
            <w:tcW w:w="1134" w:type="dxa"/>
          </w:tcPr>
          <w:p>
            <w:pPr>
              <w:pStyle w:val="0"/>
              <w:jc w:val="center"/>
            </w:pPr>
            <w:r>
              <w:rPr>
                <w:sz w:val="24"/>
              </w:rPr>
            </w:r>
          </w:p>
        </w:tc>
      </w:tr>
      <w:tr>
        <w:tc>
          <w:tcPr>
            <w:tcW w:w="5499" w:type="dxa"/>
          </w:tcPr>
          <w:p>
            <w:pPr>
              <w:pStyle w:val="0"/>
              <w:jc w:val="both"/>
            </w:pPr>
            <w:r>
              <w:rPr>
                <w:sz w:val="24"/>
              </w:rPr>
              <w:t xml:space="preserve">в том числе: выплаты персоналу, всего:</w:t>
            </w:r>
          </w:p>
        </w:tc>
        <w:tc>
          <w:tcPr>
            <w:tcW w:w="964" w:type="dxa"/>
          </w:tcPr>
          <w:p>
            <w:pPr>
              <w:pStyle w:val="0"/>
              <w:jc w:val="center"/>
            </w:pPr>
            <w:r>
              <w:rPr>
                <w:sz w:val="24"/>
              </w:rPr>
              <w:t xml:space="preserve">310</w:t>
            </w:r>
          </w:p>
        </w:tc>
        <w:tc>
          <w:tcPr>
            <w:tcW w:w="1474" w:type="dxa"/>
          </w:tcPr>
          <w:p>
            <w:pPr>
              <w:pStyle w:val="0"/>
              <w:jc w:val="center"/>
            </w:pPr>
            <w:r>
              <w:rPr>
                <w:sz w:val="24"/>
              </w:rPr>
            </w:r>
          </w:p>
        </w:tc>
        <w:tc>
          <w:tcPr>
            <w:tcW w:w="1134" w:type="dxa"/>
          </w:tcPr>
          <w:p>
            <w:pPr>
              <w:pStyle w:val="0"/>
              <w:jc w:val="center"/>
            </w:pPr>
            <w:r>
              <w:rPr>
                <w:sz w:val="24"/>
              </w:rPr>
            </w:r>
          </w:p>
        </w:tc>
      </w:tr>
      <w:tr>
        <w:tc>
          <w:tcPr>
            <w:tcW w:w="5499" w:type="dxa"/>
          </w:tcPr>
          <w:p>
            <w:pPr>
              <w:pStyle w:val="0"/>
              <w:jc w:val="both"/>
            </w:pPr>
            <w:r>
              <w:rPr>
                <w:sz w:val="24"/>
              </w:rPr>
              <w:t xml:space="preserve">из них:</w:t>
            </w:r>
          </w:p>
        </w:tc>
        <w:tc>
          <w:tcPr>
            <w:tcW w:w="964" w:type="dxa"/>
          </w:tcPr>
          <w:p>
            <w:pPr>
              <w:pStyle w:val="0"/>
              <w:jc w:val="center"/>
            </w:pPr>
            <w:r>
              <w:rPr>
                <w:sz w:val="24"/>
              </w:rPr>
            </w:r>
          </w:p>
        </w:tc>
        <w:tc>
          <w:tcPr>
            <w:tcW w:w="1474" w:type="dxa"/>
          </w:tcPr>
          <w:p>
            <w:pPr>
              <w:pStyle w:val="0"/>
              <w:jc w:val="center"/>
            </w:pPr>
            <w:r>
              <w:rPr>
                <w:sz w:val="24"/>
              </w:rPr>
            </w:r>
          </w:p>
        </w:tc>
        <w:tc>
          <w:tcPr>
            <w:tcW w:w="1134" w:type="dxa"/>
          </w:tcPr>
          <w:p>
            <w:pPr>
              <w:pStyle w:val="0"/>
              <w:jc w:val="center"/>
            </w:pPr>
            <w:r>
              <w:rPr>
                <w:sz w:val="24"/>
              </w:rPr>
            </w:r>
          </w:p>
        </w:tc>
      </w:tr>
      <w:tr>
        <w:tc>
          <w:tcPr>
            <w:tcW w:w="5499" w:type="dxa"/>
          </w:tcPr>
          <w:p>
            <w:pPr>
              <w:pStyle w:val="0"/>
              <w:jc w:val="both"/>
            </w:pPr>
            <w:r>
              <w:rPr>
                <w:sz w:val="24"/>
              </w:rPr>
            </w:r>
          </w:p>
        </w:tc>
        <w:tc>
          <w:tcPr>
            <w:tcW w:w="964" w:type="dxa"/>
          </w:tcPr>
          <w:p>
            <w:pPr>
              <w:pStyle w:val="0"/>
              <w:jc w:val="center"/>
            </w:pPr>
            <w:r>
              <w:rPr>
                <w:sz w:val="24"/>
              </w:rPr>
            </w:r>
          </w:p>
        </w:tc>
        <w:tc>
          <w:tcPr>
            <w:tcW w:w="1474" w:type="dxa"/>
          </w:tcPr>
          <w:p>
            <w:pPr>
              <w:pStyle w:val="0"/>
              <w:jc w:val="center"/>
            </w:pPr>
            <w:r>
              <w:rPr>
                <w:sz w:val="24"/>
              </w:rPr>
            </w:r>
          </w:p>
        </w:tc>
        <w:tc>
          <w:tcPr>
            <w:tcW w:w="1134" w:type="dxa"/>
          </w:tcPr>
          <w:p>
            <w:pPr>
              <w:pStyle w:val="0"/>
              <w:jc w:val="center"/>
            </w:pPr>
            <w:r>
              <w:rPr>
                <w:sz w:val="24"/>
              </w:rPr>
            </w:r>
          </w:p>
        </w:tc>
      </w:tr>
      <w:tr>
        <w:tc>
          <w:tcPr>
            <w:tcW w:w="5499" w:type="dxa"/>
          </w:tcPr>
          <w:p>
            <w:pPr>
              <w:pStyle w:val="0"/>
              <w:jc w:val="both"/>
            </w:pPr>
            <w:r>
              <w:rPr>
                <w:sz w:val="24"/>
              </w:rPr>
              <w:t xml:space="preserve">закупка работ и услуг, всего:</w:t>
            </w:r>
          </w:p>
        </w:tc>
        <w:tc>
          <w:tcPr>
            <w:tcW w:w="964" w:type="dxa"/>
          </w:tcPr>
          <w:p>
            <w:pPr>
              <w:pStyle w:val="0"/>
              <w:jc w:val="center"/>
            </w:pPr>
            <w:r>
              <w:rPr>
                <w:sz w:val="24"/>
              </w:rPr>
              <w:t xml:space="preserve">320</w:t>
            </w:r>
          </w:p>
        </w:tc>
        <w:tc>
          <w:tcPr>
            <w:tcW w:w="1474" w:type="dxa"/>
          </w:tcPr>
          <w:p>
            <w:pPr>
              <w:pStyle w:val="0"/>
              <w:jc w:val="center"/>
            </w:pPr>
            <w:r>
              <w:rPr>
                <w:sz w:val="24"/>
              </w:rPr>
            </w:r>
          </w:p>
        </w:tc>
        <w:tc>
          <w:tcPr>
            <w:tcW w:w="1134" w:type="dxa"/>
          </w:tcPr>
          <w:p>
            <w:pPr>
              <w:pStyle w:val="0"/>
              <w:jc w:val="center"/>
            </w:pPr>
            <w:r>
              <w:rPr>
                <w:sz w:val="24"/>
              </w:rPr>
            </w:r>
          </w:p>
        </w:tc>
      </w:tr>
      <w:tr>
        <w:tc>
          <w:tcPr>
            <w:tcW w:w="5499" w:type="dxa"/>
          </w:tcPr>
          <w:p>
            <w:pPr>
              <w:pStyle w:val="0"/>
              <w:jc w:val="both"/>
            </w:pPr>
            <w:r>
              <w:rPr>
                <w:sz w:val="24"/>
              </w:rPr>
              <w:t xml:space="preserve">из них:</w:t>
            </w:r>
          </w:p>
        </w:tc>
        <w:tc>
          <w:tcPr>
            <w:tcW w:w="964" w:type="dxa"/>
          </w:tcPr>
          <w:p>
            <w:pPr>
              <w:pStyle w:val="0"/>
              <w:jc w:val="center"/>
            </w:pPr>
            <w:r>
              <w:rPr>
                <w:sz w:val="24"/>
              </w:rPr>
            </w:r>
          </w:p>
        </w:tc>
        <w:tc>
          <w:tcPr>
            <w:tcW w:w="1474" w:type="dxa"/>
          </w:tcPr>
          <w:p>
            <w:pPr>
              <w:pStyle w:val="0"/>
              <w:jc w:val="center"/>
            </w:pPr>
            <w:r>
              <w:rPr>
                <w:sz w:val="24"/>
              </w:rPr>
            </w:r>
          </w:p>
        </w:tc>
        <w:tc>
          <w:tcPr>
            <w:tcW w:w="1134" w:type="dxa"/>
          </w:tcPr>
          <w:p>
            <w:pPr>
              <w:pStyle w:val="0"/>
              <w:jc w:val="center"/>
            </w:pPr>
            <w:r>
              <w:rPr>
                <w:sz w:val="24"/>
              </w:rPr>
            </w:r>
          </w:p>
        </w:tc>
      </w:tr>
      <w:tr>
        <w:tc>
          <w:tcPr>
            <w:tcW w:w="5499" w:type="dxa"/>
          </w:tcPr>
          <w:p>
            <w:pPr>
              <w:pStyle w:val="0"/>
              <w:jc w:val="both"/>
            </w:pPr>
            <w:r>
              <w:rPr>
                <w:sz w:val="24"/>
              </w:rPr>
            </w:r>
          </w:p>
        </w:tc>
        <w:tc>
          <w:tcPr>
            <w:tcW w:w="964" w:type="dxa"/>
          </w:tcPr>
          <w:p>
            <w:pPr>
              <w:pStyle w:val="0"/>
              <w:jc w:val="center"/>
            </w:pPr>
            <w:r>
              <w:rPr>
                <w:sz w:val="24"/>
              </w:rPr>
            </w:r>
          </w:p>
        </w:tc>
        <w:tc>
          <w:tcPr>
            <w:tcW w:w="1474" w:type="dxa"/>
          </w:tcPr>
          <w:p>
            <w:pPr>
              <w:pStyle w:val="0"/>
              <w:jc w:val="center"/>
            </w:pPr>
            <w:r>
              <w:rPr>
                <w:sz w:val="24"/>
              </w:rPr>
            </w:r>
          </w:p>
        </w:tc>
        <w:tc>
          <w:tcPr>
            <w:tcW w:w="1134" w:type="dxa"/>
          </w:tcPr>
          <w:p>
            <w:pPr>
              <w:pStyle w:val="0"/>
              <w:jc w:val="center"/>
            </w:pPr>
            <w:r>
              <w:rPr>
                <w:sz w:val="24"/>
              </w:rPr>
            </w:r>
          </w:p>
        </w:tc>
      </w:tr>
      <w:tr>
        <w:tc>
          <w:tcPr>
            <w:tcW w:w="5499" w:type="dxa"/>
          </w:tcPr>
          <w:p>
            <w:pPr>
              <w:pStyle w:val="0"/>
              <w:jc w:val="both"/>
            </w:pPr>
            <w:r>
              <w:rPr>
                <w:sz w:val="24"/>
              </w:rPr>
              <w:t xml:space="preserve">закупка непроизведенных активов, нематериальных активов, материальных запасов и основных средств, всего:</w:t>
            </w:r>
          </w:p>
        </w:tc>
        <w:tc>
          <w:tcPr>
            <w:tcW w:w="964" w:type="dxa"/>
          </w:tcPr>
          <w:p>
            <w:pPr>
              <w:pStyle w:val="0"/>
              <w:jc w:val="center"/>
            </w:pPr>
            <w:r>
              <w:rPr>
                <w:sz w:val="24"/>
              </w:rPr>
              <w:t xml:space="preserve">330</w:t>
            </w:r>
          </w:p>
        </w:tc>
        <w:tc>
          <w:tcPr>
            <w:tcW w:w="1474" w:type="dxa"/>
          </w:tcPr>
          <w:p>
            <w:pPr>
              <w:pStyle w:val="0"/>
              <w:jc w:val="center"/>
            </w:pPr>
            <w:r>
              <w:rPr>
                <w:sz w:val="24"/>
              </w:rPr>
            </w:r>
          </w:p>
        </w:tc>
        <w:tc>
          <w:tcPr>
            <w:tcW w:w="1134" w:type="dxa"/>
          </w:tcPr>
          <w:p>
            <w:pPr>
              <w:pStyle w:val="0"/>
              <w:jc w:val="center"/>
            </w:pPr>
            <w:r>
              <w:rPr>
                <w:sz w:val="24"/>
              </w:rPr>
            </w:r>
          </w:p>
        </w:tc>
      </w:tr>
      <w:tr>
        <w:tc>
          <w:tcPr>
            <w:tcW w:w="5499" w:type="dxa"/>
          </w:tcPr>
          <w:p>
            <w:pPr>
              <w:pStyle w:val="0"/>
              <w:jc w:val="both"/>
            </w:pPr>
            <w:r>
              <w:rPr>
                <w:sz w:val="24"/>
              </w:rPr>
              <w:t xml:space="preserve">из них:</w:t>
            </w:r>
          </w:p>
        </w:tc>
        <w:tc>
          <w:tcPr>
            <w:tcW w:w="964" w:type="dxa"/>
          </w:tcPr>
          <w:p>
            <w:pPr>
              <w:pStyle w:val="0"/>
              <w:jc w:val="center"/>
            </w:pPr>
            <w:r>
              <w:rPr>
                <w:sz w:val="24"/>
              </w:rPr>
            </w:r>
          </w:p>
        </w:tc>
        <w:tc>
          <w:tcPr>
            <w:tcW w:w="1474" w:type="dxa"/>
          </w:tcPr>
          <w:p>
            <w:pPr>
              <w:pStyle w:val="0"/>
              <w:jc w:val="center"/>
            </w:pPr>
            <w:r>
              <w:rPr>
                <w:sz w:val="24"/>
              </w:rPr>
            </w:r>
          </w:p>
        </w:tc>
        <w:tc>
          <w:tcPr>
            <w:tcW w:w="1134" w:type="dxa"/>
          </w:tcPr>
          <w:p>
            <w:pPr>
              <w:pStyle w:val="0"/>
              <w:jc w:val="center"/>
            </w:pPr>
            <w:r>
              <w:rPr>
                <w:sz w:val="24"/>
              </w:rPr>
            </w:r>
          </w:p>
        </w:tc>
      </w:tr>
      <w:tr>
        <w:tc>
          <w:tcPr>
            <w:tcW w:w="5499" w:type="dxa"/>
          </w:tcPr>
          <w:p>
            <w:pPr>
              <w:pStyle w:val="0"/>
              <w:jc w:val="both"/>
            </w:pPr>
            <w:r>
              <w:rPr>
                <w:sz w:val="24"/>
              </w:rPr>
            </w:r>
          </w:p>
        </w:tc>
        <w:tc>
          <w:tcPr>
            <w:tcW w:w="964" w:type="dxa"/>
          </w:tcPr>
          <w:p>
            <w:pPr>
              <w:pStyle w:val="0"/>
              <w:jc w:val="center"/>
            </w:pPr>
            <w:r>
              <w:rPr>
                <w:sz w:val="24"/>
              </w:rPr>
            </w:r>
          </w:p>
        </w:tc>
        <w:tc>
          <w:tcPr>
            <w:tcW w:w="1474" w:type="dxa"/>
          </w:tcPr>
          <w:p>
            <w:pPr>
              <w:pStyle w:val="0"/>
              <w:jc w:val="center"/>
            </w:pPr>
            <w:r>
              <w:rPr>
                <w:sz w:val="24"/>
              </w:rPr>
            </w:r>
          </w:p>
        </w:tc>
        <w:tc>
          <w:tcPr>
            <w:tcW w:w="1134" w:type="dxa"/>
          </w:tcPr>
          <w:p>
            <w:pPr>
              <w:pStyle w:val="0"/>
              <w:jc w:val="center"/>
            </w:pPr>
            <w:r>
              <w:rPr>
                <w:sz w:val="24"/>
              </w:rPr>
            </w:r>
          </w:p>
        </w:tc>
      </w:tr>
      <w:tr>
        <w:tc>
          <w:tcPr>
            <w:tcW w:w="5499" w:type="dxa"/>
          </w:tcPr>
          <w:p>
            <w:pPr>
              <w:pStyle w:val="0"/>
              <w:jc w:val="both"/>
            </w:pPr>
            <w:r>
              <w:rPr>
                <w:sz w:val="24"/>
              </w:rPr>
              <w:t xml:space="preserve">из них:</w:t>
            </w:r>
          </w:p>
        </w:tc>
        <w:tc>
          <w:tcPr>
            <w:tcW w:w="964" w:type="dxa"/>
          </w:tcPr>
          <w:p>
            <w:pPr>
              <w:pStyle w:val="0"/>
              <w:jc w:val="center"/>
            </w:pPr>
            <w:r>
              <w:rPr>
                <w:sz w:val="24"/>
              </w:rPr>
            </w:r>
          </w:p>
        </w:tc>
        <w:tc>
          <w:tcPr>
            <w:tcW w:w="1474" w:type="dxa"/>
          </w:tcPr>
          <w:p>
            <w:pPr>
              <w:pStyle w:val="0"/>
              <w:jc w:val="center"/>
            </w:pPr>
            <w:r>
              <w:rPr>
                <w:sz w:val="24"/>
              </w:rPr>
            </w:r>
          </w:p>
        </w:tc>
        <w:tc>
          <w:tcPr>
            <w:tcW w:w="1134" w:type="dxa"/>
          </w:tcPr>
          <w:p>
            <w:pPr>
              <w:pStyle w:val="0"/>
              <w:jc w:val="center"/>
            </w:pPr>
            <w:r>
              <w:rPr>
                <w:sz w:val="24"/>
              </w:rPr>
            </w:r>
          </w:p>
        </w:tc>
      </w:tr>
      <w:tr>
        <w:tc>
          <w:tcPr>
            <w:tcW w:w="5499" w:type="dxa"/>
          </w:tcPr>
          <w:p>
            <w:pPr>
              <w:pStyle w:val="0"/>
              <w:jc w:val="both"/>
            </w:pPr>
            <w:r>
              <w:rPr>
                <w:sz w:val="24"/>
              </w:rPr>
            </w:r>
          </w:p>
        </w:tc>
        <w:tc>
          <w:tcPr>
            <w:tcW w:w="964" w:type="dxa"/>
          </w:tcPr>
          <w:p>
            <w:pPr>
              <w:pStyle w:val="0"/>
              <w:jc w:val="center"/>
            </w:pPr>
            <w:r>
              <w:rPr>
                <w:sz w:val="24"/>
              </w:rPr>
            </w:r>
          </w:p>
        </w:tc>
        <w:tc>
          <w:tcPr>
            <w:tcW w:w="1474" w:type="dxa"/>
          </w:tcPr>
          <w:p>
            <w:pPr>
              <w:pStyle w:val="0"/>
              <w:jc w:val="center"/>
            </w:pPr>
            <w:r>
              <w:rPr>
                <w:sz w:val="24"/>
              </w:rPr>
            </w:r>
          </w:p>
        </w:tc>
        <w:tc>
          <w:tcPr>
            <w:tcW w:w="1134" w:type="dxa"/>
          </w:tcPr>
          <w:p>
            <w:pPr>
              <w:pStyle w:val="0"/>
              <w:jc w:val="center"/>
            </w:pPr>
            <w:r>
              <w:rPr>
                <w:sz w:val="24"/>
              </w:rPr>
            </w:r>
          </w:p>
        </w:tc>
      </w:tr>
      <w:tr>
        <w:tc>
          <w:tcPr>
            <w:tcW w:w="5499" w:type="dxa"/>
          </w:tcPr>
          <w:p>
            <w:pPr>
              <w:pStyle w:val="0"/>
              <w:jc w:val="both"/>
            </w:pPr>
            <w:r>
              <w:rPr>
                <w:sz w:val="24"/>
              </w:rPr>
              <w:t xml:space="preserve">Иные выплаты, всего:</w:t>
            </w:r>
          </w:p>
        </w:tc>
        <w:tc>
          <w:tcPr>
            <w:tcW w:w="964" w:type="dxa"/>
          </w:tcPr>
          <w:p>
            <w:pPr>
              <w:pStyle w:val="0"/>
              <w:jc w:val="center"/>
            </w:pPr>
            <w:r>
              <w:rPr>
                <w:sz w:val="24"/>
              </w:rPr>
              <w:t xml:space="preserve">380</w:t>
            </w:r>
          </w:p>
        </w:tc>
        <w:tc>
          <w:tcPr>
            <w:tcW w:w="1474" w:type="dxa"/>
          </w:tcPr>
          <w:p>
            <w:pPr>
              <w:pStyle w:val="0"/>
              <w:jc w:val="center"/>
            </w:pPr>
            <w:r>
              <w:rPr>
                <w:sz w:val="24"/>
              </w:rPr>
            </w:r>
          </w:p>
        </w:tc>
        <w:tc>
          <w:tcPr>
            <w:tcW w:w="1134" w:type="dxa"/>
          </w:tcPr>
          <w:p>
            <w:pPr>
              <w:pStyle w:val="0"/>
              <w:jc w:val="center"/>
            </w:pPr>
            <w:r>
              <w:rPr>
                <w:sz w:val="24"/>
              </w:rPr>
            </w:r>
          </w:p>
        </w:tc>
      </w:tr>
      <w:tr>
        <w:tc>
          <w:tcPr>
            <w:tcW w:w="5499" w:type="dxa"/>
          </w:tcPr>
          <w:p>
            <w:pPr>
              <w:pStyle w:val="0"/>
              <w:jc w:val="both"/>
            </w:pPr>
            <w:r>
              <w:rPr>
                <w:sz w:val="24"/>
              </w:rPr>
              <w:t xml:space="preserve">из них:</w:t>
            </w:r>
          </w:p>
        </w:tc>
        <w:tc>
          <w:tcPr>
            <w:tcW w:w="964" w:type="dxa"/>
          </w:tcPr>
          <w:p>
            <w:pPr>
              <w:pStyle w:val="0"/>
              <w:jc w:val="center"/>
            </w:pPr>
            <w:r>
              <w:rPr>
                <w:sz w:val="24"/>
              </w:rPr>
            </w:r>
          </w:p>
        </w:tc>
        <w:tc>
          <w:tcPr>
            <w:tcW w:w="1474" w:type="dxa"/>
          </w:tcPr>
          <w:p>
            <w:pPr>
              <w:pStyle w:val="0"/>
              <w:jc w:val="center"/>
            </w:pPr>
            <w:r>
              <w:rPr>
                <w:sz w:val="24"/>
              </w:rPr>
            </w:r>
          </w:p>
        </w:tc>
        <w:tc>
          <w:tcPr>
            <w:tcW w:w="1134" w:type="dxa"/>
          </w:tcPr>
          <w:p>
            <w:pPr>
              <w:pStyle w:val="0"/>
              <w:jc w:val="center"/>
            </w:pPr>
            <w:r>
              <w:rPr>
                <w:sz w:val="24"/>
              </w:rPr>
            </w:r>
          </w:p>
        </w:tc>
      </w:tr>
      <w:tr>
        <w:tc>
          <w:tcPr>
            <w:tcW w:w="5499" w:type="dxa"/>
          </w:tcPr>
          <w:p>
            <w:pPr>
              <w:pStyle w:val="0"/>
              <w:jc w:val="both"/>
            </w:pPr>
            <w:r>
              <w:rPr>
                <w:sz w:val="24"/>
              </w:rPr>
            </w:r>
          </w:p>
        </w:tc>
        <w:tc>
          <w:tcPr>
            <w:tcW w:w="964" w:type="dxa"/>
          </w:tcPr>
          <w:p>
            <w:pPr>
              <w:pStyle w:val="0"/>
              <w:jc w:val="center"/>
            </w:pPr>
            <w:r>
              <w:rPr>
                <w:sz w:val="24"/>
              </w:rPr>
            </w:r>
          </w:p>
        </w:tc>
        <w:tc>
          <w:tcPr>
            <w:tcW w:w="1474" w:type="dxa"/>
          </w:tcPr>
          <w:p>
            <w:pPr>
              <w:pStyle w:val="0"/>
              <w:jc w:val="center"/>
            </w:pPr>
            <w:r>
              <w:rPr>
                <w:sz w:val="24"/>
              </w:rPr>
            </w:r>
          </w:p>
        </w:tc>
        <w:tc>
          <w:tcPr>
            <w:tcW w:w="1134" w:type="dxa"/>
          </w:tcPr>
          <w:p>
            <w:pPr>
              <w:pStyle w:val="0"/>
              <w:jc w:val="center"/>
            </w:pPr>
            <w:r>
              <w:rPr>
                <w:sz w:val="24"/>
              </w:rPr>
            </w:r>
          </w:p>
        </w:tc>
      </w:tr>
    </w:tbl>
    <w:p>
      <w:pPr>
        <w:pStyle w:val="0"/>
        <w:ind w:firstLine="540"/>
        <w:jc w:val="both"/>
      </w:pPr>
      <w:r>
        <w:rPr>
          <w:sz w:val="24"/>
        </w:rPr>
      </w:r>
    </w:p>
    <w:p>
      <w:pPr>
        <w:pStyle w:val="0"/>
        <w:ind w:firstLine="540"/>
        <w:jc w:val="both"/>
      </w:pPr>
      <w:r>
        <w:rPr>
          <w:sz w:val="24"/>
        </w:rPr>
      </w:r>
    </w:p>
    <w:p>
      <w:pPr>
        <w:pStyle w:val="0"/>
        <w:ind w:firstLine="540"/>
        <w:jc w:val="both"/>
      </w:pPr>
      <w:r>
        <w:rPr>
          <w:sz w:val="24"/>
        </w:rPr>
      </w:r>
    </w:p>
    <w:p>
      <w:pPr>
        <w:pStyle w:val="0"/>
        <w:ind w:firstLine="540"/>
        <w:jc w:val="both"/>
      </w:pPr>
      <w:r>
        <w:rPr>
          <w:sz w:val="24"/>
        </w:rPr>
      </w:r>
    </w:p>
    <w:p>
      <w:pPr>
        <w:pStyle w:val="0"/>
        <w:ind w:firstLine="540"/>
        <w:jc w:val="both"/>
      </w:pPr>
      <w:r>
        <w:rPr>
          <w:sz w:val="24"/>
        </w:rPr>
      </w:r>
    </w:p>
    <w:p>
      <w:pPr>
        <w:pStyle w:val="0"/>
        <w:jc w:val="right"/>
        <w:outlineLvl w:val="1"/>
      </w:pPr>
      <w:r>
        <w:rPr>
          <w:sz w:val="24"/>
        </w:rPr>
        <w:t xml:space="preserve">Приложение 5</w:t>
      </w:r>
    </w:p>
    <w:p>
      <w:pPr>
        <w:pStyle w:val="0"/>
        <w:jc w:val="right"/>
      </w:pPr>
      <w:r>
        <w:rPr>
          <w:sz w:val="24"/>
        </w:rPr>
        <w:t xml:space="preserve">к Порядку предоставления грантов</w:t>
      </w:r>
    </w:p>
    <w:p>
      <w:pPr>
        <w:pStyle w:val="0"/>
        <w:jc w:val="right"/>
      </w:pPr>
      <w:r>
        <w:rPr>
          <w:sz w:val="24"/>
        </w:rPr>
        <w:t xml:space="preserve">в форме субсидий победителям конкурса</w:t>
      </w:r>
    </w:p>
    <w:p>
      <w:pPr>
        <w:pStyle w:val="0"/>
        <w:jc w:val="right"/>
      </w:pPr>
      <w:r>
        <w:rPr>
          <w:sz w:val="24"/>
        </w:rPr>
        <w:t xml:space="preserve">проектов (программ) в сфере профилактики</w:t>
      </w:r>
    </w:p>
    <w:p>
      <w:pPr>
        <w:pStyle w:val="0"/>
        <w:jc w:val="right"/>
      </w:pPr>
      <w:r>
        <w:rPr>
          <w:sz w:val="24"/>
        </w:rPr>
        <w:t xml:space="preserve">незаконного потребления наркотических средств,</w:t>
      </w:r>
    </w:p>
    <w:p>
      <w:pPr>
        <w:pStyle w:val="0"/>
        <w:jc w:val="right"/>
      </w:pPr>
      <w:r>
        <w:rPr>
          <w:sz w:val="24"/>
        </w:rPr>
        <w:t xml:space="preserve">психотропных веществ, антинаркотической пропаганды</w:t>
      </w:r>
    </w:p>
    <w:p>
      <w:pPr>
        <w:pStyle w:val="0"/>
        <w:jc w:val="center"/>
      </w:pPr>
      <w:r>
        <w:rPr>
          <w:sz w:val="24"/>
        </w:rPr>
      </w:r>
    </w:p>
    <w:bookmarkStart w:id="565" w:name="P565"/>
    <w:bookmarkEnd w:id="565"/>
    <w:p>
      <w:pPr>
        <w:pStyle w:val="0"/>
        <w:jc w:val="center"/>
      </w:pPr>
      <w:r>
        <w:rPr>
          <w:sz w:val="24"/>
        </w:rPr>
        <w:t xml:space="preserve">Оценочный лист</w:t>
      </w:r>
    </w:p>
    <w:p>
      <w:pPr>
        <w:pStyle w:val="0"/>
        <w:jc w:val="center"/>
      </w:pPr>
      <w:r>
        <w:rPr>
          <w:sz w:val="24"/>
        </w:rPr>
        <w:t xml:space="preserve">члена комиссии по проведению конкурса</w:t>
      </w:r>
    </w:p>
    <w:p>
      <w:pPr>
        <w:pStyle w:val="0"/>
        <w:jc w:val="center"/>
      </w:pPr>
      <w:r>
        <w:rPr>
          <w:sz w:val="24"/>
        </w:rPr>
        <w:t xml:space="preserve">проектов (программ) в сфере профилактики незаконного</w:t>
      </w:r>
    </w:p>
    <w:p>
      <w:pPr>
        <w:pStyle w:val="0"/>
        <w:jc w:val="center"/>
      </w:pPr>
      <w:r>
        <w:rPr>
          <w:sz w:val="24"/>
        </w:rPr>
        <w:t xml:space="preserve">потребления наркотических средств, психотропных веществ,</w:t>
      </w:r>
    </w:p>
    <w:p>
      <w:pPr>
        <w:pStyle w:val="0"/>
        <w:jc w:val="center"/>
      </w:pPr>
      <w:r>
        <w:rPr>
          <w:sz w:val="24"/>
        </w:rPr>
        <w:t xml:space="preserve">антинаркотической пропаганды</w:t>
      </w:r>
    </w:p>
    <w:p>
      <w:pPr>
        <w:pStyle w:val="0"/>
        <w:jc w:val="center"/>
      </w:pPr>
      <w:r>
        <w:rPr>
          <w:sz w:val="24"/>
        </w:rPr>
        <w:t xml:space="preserve">____________________________________________________________</w:t>
      </w:r>
    </w:p>
    <w:p>
      <w:pPr>
        <w:pStyle w:val="0"/>
        <w:jc w:val="center"/>
      </w:pPr>
      <w:r>
        <w:rPr>
          <w:sz w:val="24"/>
        </w:rPr>
        <w:t xml:space="preserve">(название (проекта) программы)</w:t>
      </w:r>
    </w:p>
    <w:p>
      <w:pPr>
        <w:pStyle w:val="0"/>
        <w:jc w:val="center"/>
      </w:pPr>
      <w:r>
        <w:rPr>
          <w:sz w:val="24"/>
        </w:rPr>
        <w:t xml:space="preserve">____________________________________________________________</w:t>
      </w:r>
    </w:p>
    <w:p>
      <w:pPr>
        <w:pStyle w:val="0"/>
        <w:jc w:val="center"/>
      </w:pPr>
      <w:r>
        <w:rPr>
          <w:sz w:val="24"/>
        </w:rPr>
        <w:t xml:space="preserve">(наименование участника конкурса)</w:t>
      </w:r>
    </w:p>
    <w:p>
      <w:pPr>
        <w:pStyle w:val="0"/>
        <w:jc w:val="center"/>
      </w:pPr>
      <w:r>
        <w:rPr>
          <w:sz w:val="24"/>
        </w:rPr>
      </w:r>
    </w:p>
    <w:tbl>
      <w:tblPr>
        <w:tblInd w:w="0" w:type="dxa"/>
        <w:tblBorders>
          <w:top w:val="single" w:sz="4"/>
          <w:left w:val="single" w:sz="4"/>
          <w:bottom w:val="single" w:sz="4"/>
          <w:right w:val="single" w:sz="4"/>
          <w:insideH w:val="single" w:sz="4"/>
          <w:insideV w:val="single" w:sz="4"/>
        </w:tblBorders>
        <w:tblLayout w:type="fixed"/>
        <w:tblCellMar>
          <w:left w:w="62" w:type="dxa"/>
          <w:top w:w="102" w:type="dxa"/>
          <w:right w:w="62" w:type="dxa"/>
          <w:bottom w:w="102" w:type="dxa"/>
        </w:tblCellMar>
      </w:tblPr>
      <w:tblGrid>
        <w:gridCol w:w="624"/>
        <w:gridCol w:w="2154"/>
        <w:gridCol w:w="3515"/>
        <w:gridCol w:w="1474"/>
        <w:gridCol w:w="1276"/>
      </w:tblGrid>
      <w:tr>
        <w:tc>
          <w:tcPr>
            <w:tcW w:w="624" w:type="dxa"/>
          </w:tcPr>
          <w:p>
            <w:pPr>
              <w:pStyle w:val="0"/>
              <w:jc w:val="center"/>
            </w:pPr>
            <w:r>
              <w:rPr>
                <w:sz w:val="24"/>
              </w:rPr>
              <w:t xml:space="preserve">N п/п</w:t>
            </w:r>
          </w:p>
        </w:tc>
        <w:tc>
          <w:tcPr>
            <w:tcW w:w="2154" w:type="dxa"/>
          </w:tcPr>
          <w:p>
            <w:pPr>
              <w:pStyle w:val="0"/>
              <w:jc w:val="center"/>
            </w:pPr>
            <w:r>
              <w:rPr>
                <w:sz w:val="24"/>
              </w:rPr>
              <w:t xml:space="preserve">Критерии оценки</w:t>
            </w:r>
          </w:p>
        </w:tc>
        <w:tc>
          <w:tcPr>
            <w:tcW w:w="3515" w:type="dxa"/>
          </w:tcPr>
          <w:p>
            <w:pPr>
              <w:pStyle w:val="0"/>
              <w:jc w:val="center"/>
            </w:pPr>
            <w:r>
              <w:rPr>
                <w:sz w:val="24"/>
              </w:rPr>
              <w:t xml:space="preserve">Показатели критериев оценок в баллах</w:t>
            </w:r>
          </w:p>
        </w:tc>
        <w:tc>
          <w:tcPr>
            <w:tcW w:w="1474" w:type="dxa"/>
          </w:tcPr>
          <w:p>
            <w:pPr>
              <w:pStyle w:val="0"/>
              <w:jc w:val="center"/>
            </w:pPr>
            <w:r>
              <w:rPr>
                <w:sz w:val="24"/>
              </w:rPr>
              <w:t xml:space="preserve">Величина значимости критериев в общей оценке &lt;*&gt;</w:t>
            </w:r>
          </w:p>
        </w:tc>
        <w:tc>
          <w:tcPr>
            <w:tcW w:w="1276" w:type="dxa"/>
          </w:tcPr>
          <w:p>
            <w:pPr>
              <w:pStyle w:val="0"/>
              <w:jc w:val="center"/>
            </w:pPr>
            <w:r>
              <w:rPr>
                <w:sz w:val="24"/>
              </w:rPr>
              <w:t xml:space="preserve">Оценка критерия в баллах</w:t>
            </w:r>
          </w:p>
        </w:tc>
      </w:tr>
      <w:tr>
        <w:tc>
          <w:tcPr>
            <w:tcW w:w="624" w:type="dxa"/>
            <w:vMerge w:val="restart"/>
          </w:tcPr>
          <w:p>
            <w:pPr>
              <w:pStyle w:val="0"/>
              <w:jc w:val="center"/>
            </w:pPr>
            <w:r>
              <w:rPr>
                <w:sz w:val="24"/>
              </w:rPr>
              <w:t xml:space="preserve">1.</w:t>
            </w:r>
          </w:p>
        </w:tc>
        <w:tc>
          <w:tcPr>
            <w:tcW w:w="2154" w:type="dxa"/>
            <w:vMerge w:val="restart"/>
          </w:tcPr>
          <w:p>
            <w:pPr>
              <w:pStyle w:val="0"/>
              <w:jc w:val="both"/>
            </w:pPr>
            <w:r>
              <w:rPr>
                <w:sz w:val="24"/>
              </w:rPr>
              <w:t xml:space="preserve">Актуальность, практическая и социальная значимость проекта (программы) (проблематика)</w:t>
            </w:r>
          </w:p>
        </w:tc>
        <w:tc>
          <w:tcPr>
            <w:tcW w:w="3515" w:type="dxa"/>
          </w:tcPr>
          <w:p>
            <w:pPr>
              <w:pStyle w:val="0"/>
              <w:jc w:val="both"/>
            </w:pPr>
            <w:r>
              <w:rPr>
                <w:sz w:val="24"/>
              </w:rPr>
              <w:t xml:space="preserve">100 баллов - проект (программа) является актуальным и его реализация в полной мере представляет практическую и социальную значимость</w:t>
            </w:r>
          </w:p>
        </w:tc>
        <w:tc>
          <w:tcPr>
            <w:tcW w:w="1474" w:type="dxa"/>
            <w:vMerge w:val="restart"/>
          </w:tcPr>
          <w:p>
            <w:pPr>
              <w:pStyle w:val="0"/>
              <w:jc w:val="center"/>
            </w:pPr>
            <w:r>
              <w:rPr>
                <w:sz w:val="24"/>
              </w:rPr>
              <w:t xml:space="preserve">10%</w:t>
            </w:r>
          </w:p>
        </w:tc>
        <w:tc>
          <w:tcPr>
            <w:tcW w:w="1276" w:type="dxa"/>
            <w:vMerge w:val="restart"/>
          </w:tcPr>
          <w:p>
            <w:pPr>
              <w:pStyle w:val="0"/>
              <w:jc w:val="center"/>
            </w:pPr>
            <w:r>
              <w:rPr>
                <w:sz w:val="24"/>
              </w:rPr>
            </w:r>
          </w:p>
        </w:tc>
      </w:tr>
      <w:tr>
        <w:tc>
          <w:tcPr>
            <w:vMerge w:val="continue"/>
          </w:tcPr>
          <w:p/>
        </w:tc>
        <w:tc>
          <w:tcPr>
            <w:vMerge w:val="continue"/>
          </w:tcPr>
          <w:p/>
        </w:tc>
        <w:tc>
          <w:tcPr>
            <w:tcW w:w="3515" w:type="dxa"/>
          </w:tcPr>
          <w:p>
            <w:pPr>
              <w:pStyle w:val="0"/>
              <w:jc w:val="both"/>
            </w:pPr>
            <w:r>
              <w:rPr>
                <w:sz w:val="24"/>
              </w:rPr>
              <w:t xml:space="preserve">75 баллов - проект (программа) является актуальным и в значительной степени представляет практическую и социальную значимость</w:t>
            </w:r>
          </w:p>
        </w:tc>
        <w:tc>
          <w:tcPr>
            <w:vMerge w:val="continue"/>
          </w:tcPr>
          <w:p/>
        </w:tc>
        <w:tc>
          <w:tcPr>
            <w:vMerge w:val="continue"/>
          </w:tcPr>
          <w:p/>
        </w:tc>
      </w:tr>
      <w:tr>
        <w:tc>
          <w:tcPr>
            <w:vMerge w:val="continue"/>
          </w:tcPr>
          <w:p/>
        </w:tc>
        <w:tc>
          <w:tcPr>
            <w:vMerge w:val="continue"/>
          </w:tcPr>
          <w:p/>
        </w:tc>
        <w:tc>
          <w:tcPr>
            <w:tcW w:w="3515" w:type="dxa"/>
          </w:tcPr>
          <w:p>
            <w:pPr>
              <w:pStyle w:val="0"/>
              <w:jc w:val="both"/>
            </w:pPr>
            <w:r>
              <w:rPr>
                <w:sz w:val="24"/>
              </w:rPr>
              <w:t xml:space="preserve">50 баллов - проект (программа) в средней степени является актуальным и в средней степени представляет практическую и социальную значимость</w:t>
            </w:r>
          </w:p>
        </w:tc>
        <w:tc>
          <w:tcPr>
            <w:vMerge w:val="continue"/>
          </w:tcPr>
          <w:p/>
        </w:tc>
        <w:tc>
          <w:tcPr>
            <w:vMerge w:val="continue"/>
          </w:tcPr>
          <w:p/>
        </w:tc>
      </w:tr>
      <w:tr>
        <w:tc>
          <w:tcPr>
            <w:vMerge w:val="continue"/>
          </w:tcPr>
          <w:p/>
        </w:tc>
        <w:tc>
          <w:tcPr>
            <w:vMerge w:val="continue"/>
          </w:tcPr>
          <w:p/>
        </w:tc>
        <w:tc>
          <w:tcPr>
            <w:tcW w:w="3515" w:type="dxa"/>
          </w:tcPr>
          <w:p>
            <w:pPr>
              <w:pStyle w:val="0"/>
              <w:jc w:val="both"/>
            </w:pPr>
            <w:r>
              <w:rPr>
                <w:sz w:val="24"/>
              </w:rPr>
              <w:t xml:space="preserve">25 баллов - проект (программа) в незначительной степени является актуальным и его реализация в малой степени представляет практическую и социальную значимость</w:t>
            </w:r>
          </w:p>
        </w:tc>
        <w:tc>
          <w:tcPr>
            <w:vMerge w:val="continue"/>
          </w:tcPr>
          <w:p/>
        </w:tc>
        <w:tc>
          <w:tcPr>
            <w:vMerge w:val="continue"/>
          </w:tcPr>
          <w:p/>
        </w:tc>
      </w:tr>
      <w:tr>
        <w:tc>
          <w:tcPr>
            <w:vMerge w:val="continue"/>
          </w:tcPr>
          <w:p/>
        </w:tc>
        <w:tc>
          <w:tcPr>
            <w:vMerge w:val="continue"/>
          </w:tcPr>
          <w:p/>
        </w:tc>
        <w:tc>
          <w:tcPr>
            <w:tcW w:w="3515" w:type="dxa"/>
          </w:tcPr>
          <w:p>
            <w:pPr>
              <w:pStyle w:val="0"/>
              <w:jc w:val="both"/>
            </w:pPr>
            <w:r>
              <w:rPr>
                <w:sz w:val="24"/>
              </w:rPr>
              <w:t xml:space="preserve">0 баллов - проект (программа) не актуален и не представляет практической и социальной значимости</w:t>
            </w:r>
          </w:p>
        </w:tc>
        <w:tc>
          <w:tcPr>
            <w:vMerge w:val="continue"/>
          </w:tcPr>
          <w:p/>
        </w:tc>
        <w:tc>
          <w:tcPr>
            <w:vMerge w:val="continue"/>
          </w:tcPr>
          <w:p/>
        </w:tc>
      </w:tr>
      <w:tr>
        <w:tc>
          <w:tcPr>
            <w:tcW w:w="624" w:type="dxa"/>
            <w:vMerge w:val="restart"/>
          </w:tcPr>
          <w:p>
            <w:pPr>
              <w:pStyle w:val="0"/>
              <w:jc w:val="center"/>
            </w:pPr>
            <w:r>
              <w:rPr>
                <w:sz w:val="24"/>
              </w:rPr>
              <w:t xml:space="preserve">2.</w:t>
            </w:r>
          </w:p>
        </w:tc>
        <w:tc>
          <w:tcPr>
            <w:tcW w:w="2154" w:type="dxa"/>
            <w:vMerge w:val="restart"/>
          </w:tcPr>
          <w:p>
            <w:pPr>
              <w:pStyle w:val="0"/>
              <w:jc w:val="both"/>
            </w:pPr>
            <w:r>
              <w:rPr>
                <w:sz w:val="24"/>
              </w:rPr>
              <w:t xml:space="preserve">Масштабность проекта (программы) (количество участников из целевой группы, охваченных проектом (программой))</w:t>
            </w:r>
          </w:p>
        </w:tc>
        <w:tc>
          <w:tcPr>
            <w:tcW w:w="3515" w:type="dxa"/>
          </w:tcPr>
          <w:p>
            <w:pPr>
              <w:pStyle w:val="0"/>
              <w:jc w:val="both"/>
            </w:pPr>
            <w:r>
              <w:rPr>
                <w:sz w:val="24"/>
              </w:rPr>
              <w:t xml:space="preserve">100 баллов - количество участников мероприятий проекта (программы) более 300 человек</w:t>
            </w:r>
          </w:p>
        </w:tc>
        <w:tc>
          <w:tcPr>
            <w:tcW w:w="1474" w:type="dxa"/>
            <w:vMerge w:val="restart"/>
          </w:tcPr>
          <w:p>
            <w:pPr>
              <w:pStyle w:val="0"/>
              <w:jc w:val="center"/>
            </w:pPr>
            <w:r>
              <w:rPr>
                <w:sz w:val="24"/>
              </w:rPr>
              <w:t xml:space="preserve">10%</w:t>
            </w:r>
          </w:p>
        </w:tc>
        <w:tc>
          <w:tcPr>
            <w:tcW w:w="1276" w:type="dxa"/>
            <w:vMerge w:val="restart"/>
          </w:tcPr>
          <w:p>
            <w:pPr>
              <w:pStyle w:val="0"/>
              <w:jc w:val="center"/>
            </w:pPr>
            <w:r>
              <w:rPr>
                <w:sz w:val="24"/>
              </w:rPr>
            </w:r>
          </w:p>
        </w:tc>
      </w:tr>
      <w:tr>
        <w:tc>
          <w:tcPr>
            <w:vMerge w:val="continue"/>
          </w:tcPr>
          <w:p/>
        </w:tc>
        <w:tc>
          <w:tcPr>
            <w:vMerge w:val="continue"/>
          </w:tcPr>
          <w:p/>
        </w:tc>
        <w:tc>
          <w:tcPr>
            <w:tcW w:w="3515" w:type="dxa"/>
          </w:tcPr>
          <w:p>
            <w:pPr>
              <w:pStyle w:val="0"/>
              <w:jc w:val="both"/>
            </w:pPr>
            <w:r>
              <w:rPr>
                <w:sz w:val="24"/>
              </w:rPr>
              <w:t xml:space="preserve">75 баллов - количество участников мероприятий проекта (программы) от 100 до 300 человек</w:t>
            </w:r>
          </w:p>
        </w:tc>
        <w:tc>
          <w:tcPr>
            <w:vMerge w:val="continue"/>
          </w:tcPr>
          <w:p/>
        </w:tc>
        <w:tc>
          <w:tcPr>
            <w:vMerge w:val="continue"/>
          </w:tcPr>
          <w:p/>
        </w:tc>
      </w:tr>
      <w:tr>
        <w:tc>
          <w:tcPr>
            <w:vMerge w:val="continue"/>
          </w:tcPr>
          <w:p/>
        </w:tc>
        <w:tc>
          <w:tcPr>
            <w:vMerge w:val="continue"/>
          </w:tcPr>
          <w:p/>
        </w:tc>
        <w:tc>
          <w:tcPr>
            <w:tcW w:w="3515" w:type="dxa"/>
          </w:tcPr>
          <w:p>
            <w:pPr>
              <w:pStyle w:val="0"/>
              <w:jc w:val="both"/>
            </w:pPr>
            <w:r>
              <w:rPr>
                <w:sz w:val="24"/>
              </w:rPr>
              <w:t xml:space="preserve">50 баллов - количество участников мероприятий проекта (программы) от 70 до 100 человек</w:t>
            </w:r>
          </w:p>
        </w:tc>
        <w:tc>
          <w:tcPr>
            <w:vMerge w:val="continue"/>
          </w:tcPr>
          <w:p/>
        </w:tc>
        <w:tc>
          <w:tcPr>
            <w:vMerge w:val="continue"/>
          </w:tcPr>
          <w:p/>
        </w:tc>
      </w:tr>
      <w:tr>
        <w:tc>
          <w:tcPr>
            <w:vMerge w:val="continue"/>
          </w:tcPr>
          <w:p/>
        </w:tc>
        <w:tc>
          <w:tcPr>
            <w:vMerge w:val="continue"/>
          </w:tcPr>
          <w:p/>
        </w:tc>
        <w:tc>
          <w:tcPr>
            <w:tcW w:w="3515" w:type="dxa"/>
          </w:tcPr>
          <w:p>
            <w:pPr>
              <w:pStyle w:val="0"/>
              <w:jc w:val="both"/>
            </w:pPr>
            <w:r>
              <w:rPr>
                <w:sz w:val="24"/>
              </w:rPr>
              <w:t xml:space="preserve">25 баллов - количество участников мероприятий проекта (программы) от 20 до 70 человек</w:t>
            </w:r>
          </w:p>
        </w:tc>
        <w:tc>
          <w:tcPr>
            <w:vMerge w:val="continue"/>
          </w:tcPr>
          <w:p/>
        </w:tc>
        <w:tc>
          <w:tcPr>
            <w:vMerge w:val="continue"/>
          </w:tcPr>
          <w:p/>
        </w:tc>
      </w:tr>
      <w:tr>
        <w:tc>
          <w:tcPr>
            <w:vMerge w:val="continue"/>
          </w:tcPr>
          <w:p/>
        </w:tc>
        <w:tc>
          <w:tcPr>
            <w:vMerge w:val="continue"/>
          </w:tcPr>
          <w:p/>
        </w:tc>
        <w:tc>
          <w:tcPr>
            <w:tcW w:w="3515" w:type="dxa"/>
          </w:tcPr>
          <w:p>
            <w:pPr>
              <w:pStyle w:val="0"/>
              <w:jc w:val="both"/>
            </w:pPr>
            <w:r>
              <w:rPr>
                <w:sz w:val="24"/>
              </w:rPr>
              <w:t xml:space="preserve">0 баллов - количество участников мероприятий проекта (программы) менее 20 человек</w:t>
            </w:r>
          </w:p>
        </w:tc>
        <w:tc>
          <w:tcPr>
            <w:vMerge w:val="continue"/>
          </w:tcPr>
          <w:p/>
        </w:tc>
        <w:tc>
          <w:tcPr>
            <w:vMerge w:val="continue"/>
          </w:tcPr>
          <w:p/>
        </w:tc>
      </w:tr>
      <w:tr>
        <w:tc>
          <w:tcPr>
            <w:tcW w:w="624" w:type="dxa"/>
            <w:vMerge w:val="restart"/>
          </w:tcPr>
          <w:p>
            <w:pPr>
              <w:pStyle w:val="0"/>
              <w:jc w:val="center"/>
            </w:pPr>
            <w:r>
              <w:rPr>
                <w:sz w:val="24"/>
              </w:rPr>
              <w:t xml:space="preserve">3.</w:t>
            </w:r>
          </w:p>
        </w:tc>
        <w:tc>
          <w:tcPr>
            <w:tcW w:w="2154" w:type="dxa"/>
            <w:vMerge w:val="restart"/>
          </w:tcPr>
          <w:p>
            <w:pPr>
              <w:pStyle w:val="0"/>
              <w:jc w:val="both"/>
            </w:pPr>
            <w:r>
              <w:rPr>
                <w:sz w:val="24"/>
              </w:rPr>
              <w:t xml:space="preserve">Экономическая целесообразность проекта (программы) (соотношение планируемых затрат на реализацию проекта и его ожидаемых результатов)</w:t>
            </w:r>
          </w:p>
        </w:tc>
        <w:tc>
          <w:tcPr>
            <w:tcW w:w="3515" w:type="dxa"/>
          </w:tcPr>
          <w:p>
            <w:pPr>
              <w:pStyle w:val="0"/>
              <w:jc w:val="both"/>
            </w:pPr>
            <w:r>
              <w:rPr>
                <w:sz w:val="24"/>
              </w:rPr>
              <w:t xml:space="preserve">100 баллов - затраты полностью обоснованы в достижении результатов реализации проекта (программы)</w:t>
            </w:r>
          </w:p>
        </w:tc>
        <w:tc>
          <w:tcPr>
            <w:tcW w:w="1474" w:type="dxa"/>
            <w:vMerge w:val="restart"/>
          </w:tcPr>
          <w:p>
            <w:pPr>
              <w:pStyle w:val="0"/>
              <w:jc w:val="center"/>
            </w:pPr>
            <w:r>
              <w:rPr>
                <w:sz w:val="24"/>
              </w:rPr>
              <w:t xml:space="preserve">20%</w:t>
            </w:r>
          </w:p>
        </w:tc>
        <w:tc>
          <w:tcPr>
            <w:tcW w:w="1276" w:type="dxa"/>
            <w:vMerge w:val="restart"/>
          </w:tcPr>
          <w:p>
            <w:pPr>
              <w:pStyle w:val="0"/>
              <w:jc w:val="center"/>
            </w:pPr>
            <w:r>
              <w:rPr>
                <w:sz w:val="24"/>
              </w:rPr>
            </w:r>
          </w:p>
        </w:tc>
      </w:tr>
      <w:tr>
        <w:tc>
          <w:tcPr>
            <w:vMerge w:val="continue"/>
          </w:tcPr>
          <w:p/>
        </w:tc>
        <w:tc>
          <w:tcPr>
            <w:vMerge w:val="continue"/>
          </w:tcPr>
          <w:p/>
        </w:tc>
        <w:tc>
          <w:tcPr>
            <w:tcW w:w="3515" w:type="dxa"/>
          </w:tcPr>
          <w:p>
            <w:pPr>
              <w:pStyle w:val="0"/>
              <w:jc w:val="both"/>
            </w:pPr>
            <w:r>
              <w:rPr>
                <w:sz w:val="24"/>
              </w:rPr>
              <w:t xml:space="preserve">75 баллов - затраты в значительной степени обоснованны в достижении результатов реализации проекта (программы)</w:t>
            </w:r>
          </w:p>
        </w:tc>
        <w:tc>
          <w:tcPr>
            <w:vMerge w:val="continue"/>
          </w:tcPr>
          <w:p/>
        </w:tc>
        <w:tc>
          <w:tcPr>
            <w:vMerge w:val="continue"/>
          </w:tcPr>
          <w:p/>
        </w:tc>
      </w:tr>
      <w:tr>
        <w:tc>
          <w:tcPr>
            <w:vMerge w:val="continue"/>
          </w:tcPr>
          <w:p/>
        </w:tc>
        <w:tc>
          <w:tcPr>
            <w:vMerge w:val="continue"/>
          </w:tcPr>
          <w:p/>
        </w:tc>
        <w:tc>
          <w:tcPr>
            <w:tcW w:w="3515" w:type="dxa"/>
          </w:tcPr>
          <w:p>
            <w:pPr>
              <w:pStyle w:val="0"/>
              <w:jc w:val="both"/>
            </w:pPr>
            <w:r>
              <w:rPr>
                <w:sz w:val="24"/>
              </w:rPr>
              <w:t xml:space="preserve">50 баллов - затраты в средней степени обоснованны для достижения результатов реализации проекта (программы)</w:t>
            </w:r>
          </w:p>
        </w:tc>
        <w:tc>
          <w:tcPr>
            <w:vMerge w:val="continue"/>
          </w:tcPr>
          <w:p/>
        </w:tc>
        <w:tc>
          <w:tcPr>
            <w:vMerge w:val="continue"/>
          </w:tcPr>
          <w:p/>
        </w:tc>
      </w:tr>
      <w:tr>
        <w:tc>
          <w:tcPr>
            <w:vMerge w:val="continue"/>
          </w:tcPr>
          <w:p/>
        </w:tc>
        <w:tc>
          <w:tcPr>
            <w:vMerge w:val="continue"/>
          </w:tcPr>
          <w:p/>
        </w:tc>
        <w:tc>
          <w:tcPr>
            <w:tcW w:w="3515" w:type="dxa"/>
          </w:tcPr>
          <w:p>
            <w:pPr>
              <w:pStyle w:val="0"/>
              <w:jc w:val="both"/>
            </w:pPr>
            <w:r>
              <w:rPr>
                <w:sz w:val="24"/>
              </w:rPr>
              <w:t xml:space="preserve">25 баллов - затраты в незначительной степени обоснованны для достижения результатов реализации проекта (программы)</w:t>
            </w:r>
          </w:p>
        </w:tc>
        <w:tc>
          <w:tcPr>
            <w:vMerge w:val="continue"/>
          </w:tcPr>
          <w:p/>
        </w:tc>
        <w:tc>
          <w:tcPr>
            <w:vMerge w:val="continue"/>
          </w:tcPr>
          <w:p/>
        </w:tc>
      </w:tr>
      <w:tr>
        <w:tc>
          <w:tcPr>
            <w:vMerge w:val="continue"/>
          </w:tcPr>
          <w:p/>
        </w:tc>
        <w:tc>
          <w:tcPr>
            <w:vMerge w:val="continue"/>
          </w:tcPr>
          <w:p/>
        </w:tc>
        <w:tc>
          <w:tcPr>
            <w:tcW w:w="3515" w:type="dxa"/>
          </w:tcPr>
          <w:p>
            <w:pPr>
              <w:pStyle w:val="0"/>
              <w:jc w:val="both"/>
            </w:pPr>
            <w:r>
              <w:rPr>
                <w:sz w:val="24"/>
              </w:rPr>
              <w:t xml:space="preserve">0 баллов - затраты не обоснованны</w:t>
            </w:r>
          </w:p>
        </w:tc>
        <w:tc>
          <w:tcPr>
            <w:vMerge w:val="continue"/>
          </w:tcPr>
          <w:p/>
        </w:tc>
        <w:tc>
          <w:tcPr>
            <w:vMerge w:val="continue"/>
          </w:tcPr>
          <w:p/>
        </w:tc>
      </w:tr>
      <w:tr>
        <w:tc>
          <w:tcPr>
            <w:tcW w:w="624" w:type="dxa"/>
            <w:vMerge w:val="restart"/>
          </w:tcPr>
          <w:p>
            <w:pPr>
              <w:pStyle w:val="0"/>
              <w:jc w:val="center"/>
            </w:pPr>
            <w:r>
              <w:rPr>
                <w:sz w:val="24"/>
              </w:rPr>
              <w:t xml:space="preserve">4.</w:t>
            </w:r>
          </w:p>
        </w:tc>
        <w:tc>
          <w:tcPr>
            <w:tcW w:w="2154" w:type="dxa"/>
            <w:vMerge w:val="restart"/>
          </w:tcPr>
          <w:p>
            <w:pPr>
              <w:pStyle w:val="0"/>
              <w:jc w:val="both"/>
            </w:pPr>
            <w:r>
              <w:rPr>
                <w:sz w:val="24"/>
              </w:rPr>
              <w:t xml:space="preserve">Инновационный подход при реализации проекта (программы)</w:t>
            </w:r>
          </w:p>
        </w:tc>
        <w:tc>
          <w:tcPr>
            <w:tcW w:w="3515" w:type="dxa"/>
          </w:tcPr>
          <w:p>
            <w:pPr>
              <w:pStyle w:val="0"/>
              <w:jc w:val="both"/>
            </w:pPr>
            <w:r>
              <w:rPr>
                <w:sz w:val="24"/>
              </w:rPr>
              <w:t xml:space="preserve">100 баллов - при реализации проекта (программы) используются полностью инновационные методы</w:t>
            </w:r>
          </w:p>
        </w:tc>
        <w:tc>
          <w:tcPr>
            <w:tcW w:w="1474" w:type="dxa"/>
            <w:vMerge w:val="restart"/>
          </w:tcPr>
          <w:p>
            <w:pPr>
              <w:pStyle w:val="0"/>
              <w:jc w:val="center"/>
            </w:pPr>
            <w:r>
              <w:rPr>
                <w:sz w:val="24"/>
              </w:rPr>
              <w:t xml:space="preserve">30%</w:t>
            </w:r>
          </w:p>
        </w:tc>
        <w:tc>
          <w:tcPr>
            <w:tcW w:w="1276" w:type="dxa"/>
            <w:vMerge w:val="restart"/>
          </w:tcPr>
          <w:p>
            <w:pPr>
              <w:pStyle w:val="0"/>
              <w:jc w:val="center"/>
            </w:pPr>
            <w:r>
              <w:rPr>
                <w:sz w:val="24"/>
              </w:rPr>
            </w:r>
          </w:p>
        </w:tc>
      </w:tr>
      <w:tr>
        <w:tc>
          <w:tcPr>
            <w:vMerge w:val="continue"/>
          </w:tcPr>
          <w:p/>
        </w:tc>
        <w:tc>
          <w:tcPr>
            <w:vMerge w:val="continue"/>
          </w:tcPr>
          <w:p/>
        </w:tc>
        <w:tc>
          <w:tcPr>
            <w:tcW w:w="3515" w:type="dxa"/>
          </w:tcPr>
          <w:p>
            <w:pPr>
              <w:pStyle w:val="0"/>
              <w:jc w:val="both"/>
            </w:pPr>
            <w:r>
              <w:rPr>
                <w:sz w:val="24"/>
              </w:rPr>
              <w:t xml:space="preserve">75 баллов - при реализации проекта (программы) в большей степени используются инновационные методы</w:t>
            </w:r>
          </w:p>
        </w:tc>
        <w:tc>
          <w:tcPr>
            <w:vMerge w:val="continue"/>
          </w:tcPr>
          <w:p/>
        </w:tc>
        <w:tc>
          <w:tcPr>
            <w:vMerge w:val="continue"/>
          </w:tcPr>
          <w:p/>
        </w:tc>
      </w:tr>
      <w:tr>
        <w:tc>
          <w:tcPr>
            <w:vMerge w:val="continue"/>
          </w:tcPr>
          <w:p/>
        </w:tc>
        <w:tc>
          <w:tcPr>
            <w:vMerge w:val="continue"/>
          </w:tcPr>
          <w:p/>
        </w:tc>
        <w:tc>
          <w:tcPr>
            <w:tcW w:w="3515" w:type="dxa"/>
          </w:tcPr>
          <w:p>
            <w:pPr>
              <w:pStyle w:val="0"/>
              <w:jc w:val="both"/>
            </w:pPr>
            <w:r>
              <w:rPr>
                <w:sz w:val="24"/>
              </w:rPr>
              <w:t xml:space="preserve">50 баллов - при реализации проекта (программы) в средней степени используется инновационные методы</w:t>
            </w:r>
          </w:p>
        </w:tc>
        <w:tc>
          <w:tcPr>
            <w:vMerge w:val="continue"/>
          </w:tcPr>
          <w:p/>
        </w:tc>
        <w:tc>
          <w:tcPr>
            <w:vMerge w:val="continue"/>
          </w:tcPr>
          <w:p/>
        </w:tc>
      </w:tr>
      <w:tr>
        <w:tc>
          <w:tcPr>
            <w:vMerge w:val="continue"/>
          </w:tcPr>
          <w:p/>
        </w:tc>
        <w:tc>
          <w:tcPr>
            <w:vMerge w:val="continue"/>
          </w:tcPr>
          <w:p/>
        </w:tc>
        <w:tc>
          <w:tcPr>
            <w:tcW w:w="3515" w:type="dxa"/>
          </w:tcPr>
          <w:p>
            <w:pPr>
              <w:pStyle w:val="0"/>
              <w:jc w:val="both"/>
            </w:pPr>
            <w:r>
              <w:rPr>
                <w:sz w:val="24"/>
              </w:rPr>
              <w:t xml:space="preserve">25 баллов - использование инновационных методов при реализации проекта (программы) незначительно</w:t>
            </w:r>
          </w:p>
        </w:tc>
        <w:tc>
          <w:tcPr>
            <w:vMerge w:val="continue"/>
          </w:tcPr>
          <w:p/>
        </w:tc>
        <w:tc>
          <w:tcPr>
            <w:vMerge w:val="continue"/>
          </w:tcPr>
          <w:p/>
        </w:tc>
      </w:tr>
      <w:tr>
        <w:tc>
          <w:tcPr>
            <w:vMerge w:val="continue"/>
          </w:tcPr>
          <w:p/>
        </w:tc>
        <w:tc>
          <w:tcPr>
            <w:vMerge w:val="continue"/>
          </w:tcPr>
          <w:p/>
        </w:tc>
        <w:tc>
          <w:tcPr>
            <w:tcW w:w="3515" w:type="dxa"/>
          </w:tcPr>
          <w:p>
            <w:pPr>
              <w:pStyle w:val="0"/>
              <w:jc w:val="both"/>
            </w:pPr>
            <w:r>
              <w:rPr>
                <w:sz w:val="24"/>
              </w:rPr>
              <w:t xml:space="preserve">0 баллов - инновационность проекта (программы) отсутствует</w:t>
            </w:r>
          </w:p>
        </w:tc>
        <w:tc>
          <w:tcPr>
            <w:vMerge w:val="continue"/>
          </w:tcPr>
          <w:p/>
        </w:tc>
        <w:tc>
          <w:tcPr>
            <w:vMerge w:val="continue"/>
          </w:tcPr>
          <w:p/>
        </w:tc>
      </w:tr>
      <w:tr>
        <w:tc>
          <w:tcPr>
            <w:tcW w:w="624" w:type="dxa"/>
            <w:vMerge w:val="restart"/>
          </w:tcPr>
          <w:p>
            <w:pPr>
              <w:pStyle w:val="0"/>
              <w:jc w:val="center"/>
            </w:pPr>
            <w:r>
              <w:rPr>
                <w:sz w:val="24"/>
              </w:rPr>
              <w:t xml:space="preserve">5.</w:t>
            </w:r>
          </w:p>
        </w:tc>
        <w:tc>
          <w:tcPr>
            <w:tcW w:w="2154" w:type="dxa"/>
            <w:vMerge w:val="restart"/>
          </w:tcPr>
          <w:p>
            <w:pPr>
              <w:pStyle w:val="0"/>
              <w:jc w:val="both"/>
            </w:pPr>
            <w:r>
              <w:rPr>
                <w:sz w:val="24"/>
              </w:rPr>
              <w:t xml:space="preserve">Эффективность реализации проекта (программы) (оценка воздействия (влияния) мероприятий проекта (программы) на профилактику незаконного потребления наркотических средств, психотропных веществ, антинаркотическую пропаганду)</w:t>
            </w:r>
          </w:p>
        </w:tc>
        <w:tc>
          <w:tcPr>
            <w:tcW w:w="3515" w:type="dxa"/>
          </w:tcPr>
          <w:p>
            <w:pPr>
              <w:pStyle w:val="0"/>
              <w:jc w:val="both"/>
            </w:pPr>
            <w:r>
              <w:rPr>
                <w:sz w:val="24"/>
              </w:rPr>
              <w:t xml:space="preserve">100 баллов - мероприятия проекта (программы) в полной мере направлены на профилактику незаконного потребления наркотических средств, психотропных веществ, антинаркотическую пропаганду</w:t>
            </w:r>
          </w:p>
        </w:tc>
        <w:tc>
          <w:tcPr>
            <w:tcW w:w="1474" w:type="dxa"/>
            <w:vMerge w:val="restart"/>
          </w:tcPr>
          <w:p>
            <w:pPr>
              <w:pStyle w:val="0"/>
              <w:jc w:val="center"/>
            </w:pPr>
            <w:r>
              <w:rPr>
                <w:sz w:val="24"/>
              </w:rPr>
              <w:t xml:space="preserve">30%</w:t>
            </w:r>
          </w:p>
        </w:tc>
        <w:tc>
          <w:tcPr>
            <w:tcW w:w="1276" w:type="dxa"/>
            <w:vMerge w:val="restart"/>
          </w:tcPr>
          <w:p>
            <w:pPr>
              <w:pStyle w:val="0"/>
              <w:jc w:val="center"/>
            </w:pPr>
            <w:r>
              <w:rPr>
                <w:sz w:val="24"/>
              </w:rPr>
            </w:r>
          </w:p>
        </w:tc>
      </w:tr>
      <w:tr>
        <w:tc>
          <w:tcPr>
            <w:vMerge w:val="continue"/>
          </w:tcPr>
          <w:p/>
        </w:tc>
        <w:tc>
          <w:tcPr>
            <w:vMerge w:val="continue"/>
          </w:tcPr>
          <w:p/>
        </w:tc>
        <w:tc>
          <w:tcPr>
            <w:tcW w:w="3515" w:type="dxa"/>
          </w:tcPr>
          <w:p>
            <w:pPr>
              <w:pStyle w:val="0"/>
              <w:jc w:val="both"/>
            </w:pPr>
            <w:r>
              <w:rPr>
                <w:sz w:val="24"/>
              </w:rPr>
              <w:t xml:space="preserve">75 баллов - мероприятия проекта (программы) в значительной степени направлены на профилактику незаконного потребления наркотических средств, психотропных веществ, антинаркотическую пропаганду</w:t>
            </w:r>
          </w:p>
        </w:tc>
        <w:tc>
          <w:tcPr>
            <w:vMerge w:val="continue"/>
          </w:tcPr>
          <w:p/>
        </w:tc>
        <w:tc>
          <w:tcPr>
            <w:vMerge w:val="continue"/>
          </w:tcPr>
          <w:p/>
        </w:tc>
      </w:tr>
      <w:tr>
        <w:tc>
          <w:tcPr>
            <w:vMerge w:val="continue"/>
          </w:tcPr>
          <w:p/>
        </w:tc>
        <w:tc>
          <w:tcPr>
            <w:vMerge w:val="continue"/>
          </w:tcPr>
          <w:p/>
        </w:tc>
        <w:tc>
          <w:tcPr>
            <w:tcW w:w="3515" w:type="dxa"/>
          </w:tcPr>
          <w:p>
            <w:pPr>
              <w:pStyle w:val="0"/>
              <w:jc w:val="both"/>
            </w:pPr>
            <w:r>
              <w:rPr>
                <w:sz w:val="24"/>
              </w:rPr>
              <w:t xml:space="preserve">50 баллов - мероприятия проекта (программы) в средней степени направлены на профилактику незаконного потребления наркотических средств, психотропных веществ, антинаркотическую пропаганду</w:t>
            </w:r>
          </w:p>
        </w:tc>
        <w:tc>
          <w:tcPr>
            <w:vMerge w:val="continue"/>
          </w:tcPr>
          <w:p/>
        </w:tc>
        <w:tc>
          <w:tcPr>
            <w:vMerge w:val="continue"/>
          </w:tcPr>
          <w:p/>
        </w:tc>
      </w:tr>
      <w:tr>
        <w:tc>
          <w:tcPr>
            <w:vMerge w:val="continue"/>
          </w:tcPr>
          <w:p/>
        </w:tc>
        <w:tc>
          <w:tcPr>
            <w:vMerge w:val="continue"/>
          </w:tcPr>
          <w:p/>
        </w:tc>
        <w:tc>
          <w:tcPr>
            <w:tcW w:w="3515" w:type="dxa"/>
          </w:tcPr>
          <w:p>
            <w:pPr>
              <w:pStyle w:val="0"/>
              <w:jc w:val="both"/>
            </w:pPr>
            <w:r>
              <w:rPr>
                <w:sz w:val="24"/>
              </w:rPr>
              <w:t xml:space="preserve">25 баллов - мероприятия проекта (программы) незначительно направлены на профилактику незаконного потребления наркотических средств, психотропных веществ, антинаркотическую пропаганду</w:t>
            </w:r>
          </w:p>
        </w:tc>
        <w:tc>
          <w:tcPr>
            <w:vMerge w:val="continue"/>
          </w:tcPr>
          <w:p/>
        </w:tc>
        <w:tc>
          <w:tcPr>
            <w:vMerge w:val="continue"/>
          </w:tcPr>
          <w:p/>
        </w:tc>
      </w:tr>
      <w:tr>
        <w:tc>
          <w:tcPr>
            <w:vMerge w:val="continue"/>
          </w:tcPr>
          <w:p/>
        </w:tc>
        <w:tc>
          <w:tcPr>
            <w:vMerge w:val="continue"/>
          </w:tcPr>
          <w:p/>
        </w:tc>
        <w:tc>
          <w:tcPr>
            <w:tcW w:w="3515" w:type="dxa"/>
          </w:tcPr>
          <w:p>
            <w:pPr>
              <w:pStyle w:val="0"/>
              <w:jc w:val="both"/>
            </w:pPr>
            <w:r>
              <w:rPr>
                <w:sz w:val="24"/>
              </w:rPr>
              <w:t xml:space="preserve">0 баллов - мероприятия проекта (программы) не направлены на профилактику незаконного потребления наркотических средств, психотропных веществ, антинаркотическую пропаганду</w:t>
            </w:r>
          </w:p>
        </w:tc>
        <w:tc>
          <w:tcPr>
            <w:vMerge w:val="continue"/>
          </w:tcPr>
          <w:p/>
        </w:tc>
        <w:tc>
          <w:tcPr>
            <w:vMerge w:val="continue"/>
          </w:tcPr>
          <w:p/>
        </w:tc>
      </w:tr>
    </w:tbl>
    <w:p>
      <w:pPr>
        <w:pStyle w:val="0"/>
        <w:ind w:firstLine="540"/>
        <w:jc w:val="both"/>
      </w:pPr>
      <w:r>
        <w:rPr>
          <w:sz w:val="24"/>
        </w:rPr>
      </w:r>
    </w:p>
    <w:tbl>
      <w:tblPr>
        <w:tblInd w:w="0" w:type="dxa"/>
        <w:tblLayout w:type="fixed"/>
        <w:tblCellMar>
          <w:left w:w="62" w:type="dxa"/>
          <w:top w:w="102" w:type="dxa"/>
          <w:right w:w="62" w:type="dxa"/>
          <w:bottom w:w="102" w:type="dxa"/>
        </w:tblCellMar>
      </w:tblPr>
      <w:tblGrid>
        <w:gridCol w:w="1871"/>
        <w:gridCol w:w="1474"/>
        <w:gridCol w:w="3005"/>
        <w:gridCol w:w="2721"/>
      </w:tblGrid>
      <w:tr>
        <w:tc>
          <w:tcPr>
            <w:tcW w:w="1871" w:type="dxa"/>
            <w:tcBorders>
              <w:top w:val="none"/>
              <w:left w:val="none"/>
              <w:bottom w:val="none"/>
              <w:right w:val="none"/>
            </w:tcBorders>
          </w:tcPr>
          <w:p>
            <w:pPr>
              <w:pStyle w:val="0"/>
              <w:jc w:val="both"/>
            </w:pPr>
            <w:r>
              <w:rPr>
                <w:sz w:val="24"/>
              </w:rPr>
              <w:t xml:space="preserve">Член комиссии</w:t>
            </w:r>
          </w:p>
        </w:tc>
        <w:tc>
          <w:tcPr>
            <w:tcW w:w="1474" w:type="dxa"/>
            <w:tcBorders>
              <w:top w:val="none"/>
              <w:left w:val="none"/>
              <w:bottom w:val="none"/>
              <w:right w:val="none"/>
            </w:tcBorders>
          </w:tcPr>
          <w:p>
            <w:pPr>
              <w:pStyle w:val="0"/>
              <w:jc w:val="center"/>
            </w:pPr>
            <w:r>
              <w:rPr>
                <w:sz w:val="24"/>
              </w:rPr>
              <w:t xml:space="preserve">__________</w:t>
            </w:r>
          </w:p>
          <w:p>
            <w:pPr>
              <w:pStyle w:val="0"/>
              <w:jc w:val="center"/>
            </w:pPr>
            <w:r>
              <w:rPr>
                <w:sz w:val="24"/>
              </w:rPr>
              <w:t xml:space="preserve">(подпись)</w:t>
            </w:r>
          </w:p>
        </w:tc>
        <w:tc>
          <w:tcPr>
            <w:tcW w:w="3005" w:type="dxa"/>
            <w:tcBorders>
              <w:top w:val="none"/>
              <w:left w:val="none"/>
              <w:bottom w:val="none"/>
              <w:right w:val="none"/>
            </w:tcBorders>
          </w:tcPr>
          <w:p>
            <w:pPr>
              <w:pStyle w:val="0"/>
              <w:jc w:val="center"/>
            </w:pPr>
            <w:r>
              <w:rPr>
                <w:sz w:val="24"/>
              </w:rPr>
              <w:t xml:space="preserve">______________________</w:t>
            </w:r>
          </w:p>
          <w:p>
            <w:pPr>
              <w:pStyle w:val="0"/>
              <w:jc w:val="center"/>
            </w:pPr>
            <w:r>
              <w:rPr>
                <w:sz w:val="24"/>
              </w:rPr>
              <w:t xml:space="preserve">(расшифровка подписи)</w:t>
            </w:r>
          </w:p>
        </w:tc>
        <w:tc>
          <w:tcPr>
            <w:tcW w:w="2721" w:type="dxa"/>
            <w:tcBorders>
              <w:top w:val="none"/>
              <w:left w:val="none"/>
              <w:bottom w:val="none"/>
              <w:right w:val="none"/>
            </w:tcBorders>
          </w:tcPr>
          <w:p>
            <w:pPr>
              <w:pStyle w:val="0"/>
            </w:pPr>
            <w:r>
              <w:rPr>
                <w:sz w:val="24"/>
              </w:rPr>
              <w:t xml:space="preserve">"__" ________ 20__ года</w:t>
            </w:r>
          </w:p>
        </w:tc>
      </w:tr>
    </w:tbl>
    <w:p>
      <w:pPr>
        <w:pStyle w:val="0"/>
        <w:ind w:firstLine="540"/>
        <w:jc w:val="both"/>
      </w:pPr>
      <w:r>
        <w:rPr>
          <w:sz w:val="24"/>
        </w:rPr>
      </w:r>
    </w:p>
    <w:p>
      <w:pPr>
        <w:pStyle w:val="0"/>
        <w:ind w:firstLine="540"/>
        <w:jc w:val="both"/>
      </w:pPr>
      <w:r>
        <w:rPr>
          <w:sz w:val="24"/>
        </w:rPr>
        <w:t xml:space="preserve">--------------------------------</w:t>
      </w:r>
    </w:p>
    <w:p>
      <w:pPr>
        <w:pStyle w:val="0"/>
        <w:spacing w:before="240"/>
        <w:ind w:firstLine="540"/>
        <w:jc w:val="both"/>
      </w:pPr>
      <w:r>
        <w:rPr>
          <w:sz w:val="24"/>
        </w:rPr>
        <w:t xml:space="preserve">&lt;*&gt; Величина значимости критерия в общей оценке (весовое значение).</w:t>
      </w:r>
    </w:p>
    <w:p>
      <w:pPr>
        <w:pStyle w:val="0"/>
        <w:spacing w:before="240"/>
        <w:ind w:firstLine="540"/>
        <w:jc w:val="both"/>
      </w:pPr>
      <w:r>
        <w:rPr>
          <w:sz w:val="24"/>
        </w:rPr>
        <w:t xml:space="preserve">Критерий оценки "Актуальность, практическая и социальная значимость проекта (программы) (проблематика)" - весовое значение составляет 10%.</w:t>
      </w:r>
    </w:p>
    <w:p>
      <w:pPr>
        <w:pStyle w:val="0"/>
        <w:spacing w:before="240"/>
        <w:ind w:firstLine="540"/>
        <w:jc w:val="both"/>
      </w:pPr>
      <w:r>
        <w:rPr>
          <w:sz w:val="24"/>
        </w:rPr>
        <w:t xml:space="preserve">Критерий оценки "Масштабность проекта (программы) (количество участников из целевой группы, охваченных проектом (программой))" - весовое значение составляет 10%.</w:t>
      </w:r>
    </w:p>
    <w:p>
      <w:pPr>
        <w:pStyle w:val="0"/>
        <w:spacing w:before="240"/>
        <w:ind w:firstLine="540"/>
        <w:jc w:val="both"/>
      </w:pPr>
      <w:r>
        <w:rPr>
          <w:sz w:val="24"/>
        </w:rPr>
        <w:t xml:space="preserve">Критерий оценки - "Экономическая целесообразность проекта (программы) (соотношение планируемых затрат на реализацию проекта (программы) и его ожидаемых результатов)" - весовое значение составляет 20%.</w:t>
      </w:r>
    </w:p>
    <w:p>
      <w:pPr>
        <w:pStyle w:val="0"/>
        <w:spacing w:before="240"/>
        <w:ind w:firstLine="540"/>
        <w:jc w:val="both"/>
      </w:pPr>
      <w:r>
        <w:rPr>
          <w:sz w:val="24"/>
        </w:rPr>
        <w:t xml:space="preserve">Критерий оценки - "Инновационный подход при реализации проекта (программы)" - весовое значение составляет 30%.</w:t>
      </w:r>
    </w:p>
    <w:p>
      <w:pPr>
        <w:pStyle w:val="0"/>
        <w:spacing w:before="240"/>
        <w:ind w:firstLine="540"/>
        <w:jc w:val="both"/>
      </w:pPr>
      <w:r>
        <w:rPr>
          <w:sz w:val="24"/>
        </w:rPr>
        <w:t xml:space="preserve">Критерий оценки - "Эффективность реализации проекта (программы) (оценка воздействия (влияния) мероприятий проекта (программы) на профилактику незаконного потребления наркотических средств, психотропных веществ, антинаркотическую пропаганду)" - весовое значение составляет 30%.</w:t>
      </w:r>
    </w:p>
    <w:p>
      <w:pPr>
        <w:pStyle w:val="0"/>
        <w:spacing w:before="240"/>
        <w:ind w:firstLine="540"/>
        <w:jc w:val="both"/>
      </w:pPr>
      <w:r>
        <w:rPr>
          <w:sz w:val="24"/>
        </w:rPr>
        <w:t xml:space="preserve">Сумма величин значимости всех применяемых критериев оценки составляет 100%.</w:t>
      </w:r>
    </w:p>
    <w:p>
      <w:pPr>
        <w:pStyle w:val="0"/>
        <w:ind w:firstLine="540"/>
        <w:jc w:val="both"/>
      </w:pPr>
      <w:r>
        <w:rPr>
          <w:sz w:val="24"/>
        </w:rPr>
      </w:r>
    </w:p>
    <w:p>
      <w:pPr>
        <w:pStyle w:val="0"/>
        <w:ind w:firstLine="540"/>
        <w:jc w:val="both"/>
      </w:pPr>
      <w:r>
        <w:rPr>
          <w:sz w:val="24"/>
        </w:rPr>
      </w:r>
    </w:p>
    <w:p>
      <w:pPr>
        <w:pStyle w:val="0"/>
        <w:ind w:firstLine="540"/>
        <w:jc w:val="both"/>
      </w:pPr>
      <w:r>
        <w:rPr>
          <w:sz w:val="24"/>
        </w:rPr>
      </w:r>
    </w:p>
    <w:p>
      <w:pPr>
        <w:pStyle w:val="0"/>
        <w:ind w:firstLine="540"/>
        <w:jc w:val="both"/>
      </w:pPr>
      <w:r>
        <w:rPr>
          <w:sz w:val="24"/>
        </w:rPr>
      </w:r>
    </w:p>
    <w:p>
      <w:pPr>
        <w:pStyle w:val="0"/>
        <w:ind w:firstLine="540"/>
        <w:jc w:val="both"/>
      </w:pPr>
      <w:r>
        <w:rPr>
          <w:sz w:val="24"/>
        </w:rPr>
      </w:r>
    </w:p>
    <w:p>
      <w:pPr>
        <w:pStyle w:val="0"/>
        <w:jc w:val="right"/>
        <w:outlineLvl w:val="1"/>
      </w:pPr>
      <w:r>
        <w:rPr>
          <w:sz w:val="24"/>
        </w:rPr>
        <w:t xml:space="preserve">Приложение 6</w:t>
      </w:r>
    </w:p>
    <w:p>
      <w:pPr>
        <w:pStyle w:val="0"/>
        <w:jc w:val="right"/>
      </w:pPr>
      <w:r>
        <w:rPr>
          <w:sz w:val="24"/>
        </w:rPr>
        <w:t xml:space="preserve">к Порядку предоставления грантов</w:t>
      </w:r>
    </w:p>
    <w:p>
      <w:pPr>
        <w:pStyle w:val="0"/>
        <w:jc w:val="right"/>
      </w:pPr>
      <w:r>
        <w:rPr>
          <w:sz w:val="24"/>
        </w:rPr>
        <w:t xml:space="preserve">в форме субсидий победителям конкурса</w:t>
      </w:r>
    </w:p>
    <w:p>
      <w:pPr>
        <w:pStyle w:val="0"/>
        <w:jc w:val="right"/>
      </w:pPr>
      <w:r>
        <w:rPr>
          <w:sz w:val="24"/>
        </w:rPr>
        <w:t xml:space="preserve">проектов (программ) в сфере профилактики</w:t>
      </w:r>
    </w:p>
    <w:p>
      <w:pPr>
        <w:pStyle w:val="0"/>
        <w:jc w:val="right"/>
      </w:pPr>
      <w:r>
        <w:rPr>
          <w:sz w:val="24"/>
        </w:rPr>
        <w:t xml:space="preserve">незаконного потребления наркотических средств,</w:t>
      </w:r>
    </w:p>
    <w:p>
      <w:pPr>
        <w:pStyle w:val="0"/>
        <w:jc w:val="right"/>
      </w:pPr>
      <w:r>
        <w:rPr>
          <w:sz w:val="24"/>
        </w:rPr>
        <w:t xml:space="preserve">психотропных веществ, антинаркотической пропаганды</w:t>
      </w:r>
    </w:p>
    <w:p>
      <w:pPr>
        <w:pStyle w:val="0"/>
        <w:jc w:val="center"/>
      </w:pPr>
      <w:r>
        <w:rPr>
          <w:sz w:val="24"/>
        </w:rPr>
      </w:r>
    </w:p>
    <w:bookmarkStart w:id="653" w:name="P653"/>
    <w:bookmarkEnd w:id="653"/>
    <w:p>
      <w:pPr>
        <w:pStyle w:val="0"/>
        <w:jc w:val="center"/>
      </w:pPr>
      <w:r>
        <w:rPr>
          <w:sz w:val="24"/>
        </w:rPr>
        <w:t xml:space="preserve">Отчет</w:t>
      </w:r>
    </w:p>
    <w:p>
      <w:pPr>
        <w:pStyle w:val="0"/>
        <w:jc w:val="center"/>
      </w:pPr>
      <w:r>
        <w:rPr>
          <w:sz w:val="24"/>
        </w:rPr>
        <w:t xml:space="preserve">о результатах реализации проекта (программы)</w:t>
      </w:r>
    </w:p>
    <w:p>
      <w:pPr>
        <w:pStyle w:val="0"/>
        <w:jc w:val="center"/>
      </w:pPr>
      <w:r>
        <w:rPr>
          <w:sz w:val="24"/>
        </w:rPr>
      </w:r>
    </w:p>
    <w:p>
      <w:pPr>
        <w:pStyle w:val="0"/>
        <w:ind w:firstLine="540"/>
        <w:jc w:val="both"/>
      </w:pPr>
      <w:r>
        <w:rPr>
          <w:sz w:val="24"/>
        </w:rPr>
        <w:t xml:space="preserve">Наименование получателя гранта: ____________________________</w:t>
      </w:r>
    </w:p>
    <w:p>
      <w:pPr>
        <w:pStyle w:val="0"/>
        <w:spacing w:before="240"/>
        <w:ind w:firstLine="540"/>
        <w:jc w:val="both"/>
      </w:pPr>
      <w:r>
        <w:rPr>
          <w:sz w:val="24"/>
        </w:rPr>
        <w:t xml:space="preserve">Название проекта (программы): ______________________________</w:t>
      </w:r>
    </w:p>
    <w:p>
      <w:pPr>
        <w:pStyle w:val="0"/>
        <w:spacing w:before="240"/>
        <w:ind w:firstLine="540"/>
        <w:jc w:val="both"/>
      </w:pPr>
      <w:r>
        <w:rPr>
          <w:sz w:val="24"/>
        </w:rPr>
        <w:t xml:space="preserve">Соглашение о предоставлении гранта от ______________ N _____</w:t>
      </w:r>
    </w:p>
    <w:p>
      <w:pPr>
        <w:pStyle w:val="0"/>
        <w:spacing w:before="240"/>
        <w:ind w:firstLine="540"/>
        <w:jc w:val="both"/>
      </w:pPr>
      <w:r>
        <w:rPr>
          <w:sz w:val="24"/>
        </w:rPr>
        <w:t xml:space="preserve">Отчет составлен по состоянию на "___" __________ 20___ года.</w:t>
      </w:r>
    </w:p>
    <w:p>
      <w:pPr>
        <w:pStyle w:val="0"/>
        <w:ind w:firstLine="540"/>
        <w:jc w:val="both"/>
      </w:pPr>
      <w:r>
        <w:rPr>
          <w:sz w:val="24"/>
        </w:rPr>
      </w:r>
    </w:p>
    <w:tbl>
      <w:tblPr>
        <w:tblInd w:w="0" w:type="dxa"/>
        <w:tblBorders>
          <w:top w:val="single" w:sz="4"/>
          <w:left w:val="single" w:sz="4"/>
          <w:bottom w:val="single" w:sz="4"/>
          <w:right w:val="single" w:sz="4"/>
          <w:insideH w:val="single" w:sz="4"/>
          <w:insideV w:val="single" w:sz="4"/>
        </w:tblBorders>
        <w:tblLayout w:type="fixed"/>
        <w:tblCellMar>
          <w:left w:w="62" w:type="dxa"/>
          <w:top w:w="102" w:type="dxa"/>
          <w:right w:w="62" w:type="dxa"/>
          <w:bottom w:w="102" w:type="dxa"/>
        </w:tblCellMar>
      </w:tblPr>
      <w:tblGrid>
        <w:gridCol w:w="624"/>
        <w:gridCol w:w="4762"/>
        <w:gridCol w:w="3685"/>
      </w:tblGrid>
      <w:tr>
        <w:tc>
          <w:tcPr>
            <w:tcW w:w="624" w:type="dxa"/>
          </w:tcPr>
          <w:p>
            <w:pPr>
              <w:pStyle w:val="0"/>
              <w:jc w:val="center"/>
            </w:pPr>
            <w:r>
              <w:rPr>
                <w:sz w:val="24"/>
              </w:rPr>
              <w:t xml:space="preserve">N п/п</w:t>
            </w:r>
          </w:p>
        </w:tc>
        <w:tc>
          <w:tcPr>
            <w:tcW w:w="4762" w:type="dxa"/>
          </w:tcPr>
          <w:p>
            <w:pPr>
              <w:pStyle w:val="0"/>
              <w:jc w:val="center"/>
            </w:pPr>
            <w:r>
              <w:rPr>
                <w:sz w:val="24"/>
              </w:rPr>
              <w:t xml:space="preserve">Наименование мероприятия, направленного на реализацию проекта (программы)</w:t>
            </w:r>
          </w:p>
        </w:tc>
        <w:tc>
          <w:tcPr>
            <w:tcW w:w="3685" w:type="dxa"/>
          </w:tcPr>
          <w:p>
            <w:pPr>
              <w:pStyle w:val="0"/>
              <w:jc w:val="center"/>
            </w:pPr>
            <w:r>
              <w:rPr>
                <w:sz w:val="24"/>
              </w:rPr>
              <w:t xml:space="preserve">Описание реализации мероприятия</w:t>
            </w:r>
          </w:p>
        </w:tc>
      </w:tr>
      <w:tr>
        <w:tc>
          <w:tcPr>
            <w:tcW w:w="624" w:type="dxa"/>
          </w:tcPr>
          <w:p>
            <w:pPr>
              <w:pStyle w:val="0"/>
              <w:jc w:val="center"/>
            </w:pPr>
            <w:r>
              <w:rPr>
                <w:sz w:val="24"/>
              </w:rPr>
              <w:t xml:space="preserve">1.</w:t>
            </w:r>
          </w:p>
        </w:tc>
        <w:tc>
          <w:tcPr>
            <w:tcW w:w="4762" w:type="dxa"/>
          </w:tcPr>
          <w:p>
            <w:pPr>
              <w:pStyle w:val="0"/>
              <w:jc w:val="both"/>
            </w:pPr>
            <w:r>
              <w:rPr>
                <w:sz w:val="24"/>
              </w:rPr>
              <w:t xml:space="preserve">Срок реализации проекта (программы) (даты начала и окончания срока реализации проекта (программы))</w:t>
            </w:r>
          </w:p>
        </w:tc>
        <w:tc>
          <w:tcPr>
            <w:tcW w:w="3685" w:type="dxa"/>
          </w:tcPr>
          <w:p>
            <w:pPr>
              <w:pStyle w:val="0"/>
              <w:jc w:val="center"/>
            </w:pPr>
            <w:r>
              <w:rPr>
                <w:sz w:val="24"/>
              </w:rPr>
            </w:r>
          </w:p>
        </w:tc>
      </w:tr>
      <w:tr>
        <w:tc>
          <w:tcPr>
            <w:tcW w:w="624" w:type="dxa"/>
          </w:tcPr>
          <w:p>
            <w:pPr>
              <w:pStyle w:val="0"/>
              <w:jc w:val="center"/>
            </w:pPr>
            <w:r>
              <w:rPr>
                <w:sz w:val="24"/>
              </w:rPr>
              <w:t xml:space="preserve">2.</w:t>
            </w:r>
          </w:p>
        </w:tc>
        <w:tc>
          <w:tcPr>
            <w:tcW w:w="4762" w:type="dxa"/>
          </w:tcPr>
          <w:p>
            <w:pPr>
              <w:pStyle w:val="0"/>
              <w:jc w:val="both"/>
            </w:pPr>
            <w:r>
              <w:rPr>
                <w:sz w:val="24"/>
              </w:rPr>
              <w:t xml:space="preserve">Место проведения мероприятий проекта (программы), в том числе адрес(а) помещения (территории), где проводились мероприятия проекта (программы)</w:t>
            </w:r>
          </w:p>
        </w:tc>
        <w:tc>
          <w:tcPr>
            <w:tcW w:w="3685" w:type="dxa"/>
          </w:tcPr>
          <w:p>
            <w:pPr>
              <w:pStyle w:val="0"/>
              <w:jc w:val="center"/>
            </w:pPr>
            <w:r>
              <w:rPr>
                <w:sz w:val="24"/>
              </w:rPr>
            </w:r>
          </w:p>
        </w:tc>
      </w:tr>
      <w:tr>
        <w:tc>
          <w:tcPr>
            <w:tcW w:w="624" w:type="dxa"/>
          </w:tcPr>
          <w:p>
            <w:pPr>
              <w:pStyle w:val="0"/>
              <w:jc w:val="center"/>
            </w:pPr>
            <w:r>
              <w:rPr>
                <w:sz w:val="24"/>
              </w:rPr>
              <w:t xml:space="preserve">3.</w:t>
            </w:r>
          </w:p>
        </w:tc>
        <w:tc>
          <w:tcPr>
            <w:tcW w:w="4762" w:type="dxa"/>
          </w:tcPr>
          <w:p>
            <w:pPr>
              <w:pStyle w:val="0"/>
              <w:jc w:val="both"/>
            </w:pPr>
            <w:r>
              <w:rPr>
                <w:sz w:val="24"/>
              </w:rPr>
              <w:t xml:space="preserve">Целевые группы проекта (программы), количественный охват каждой целевой группы проекта (программы)</w:t>
            </w:r>
          </w:p>
        </w:tc>
        <w:tc>
          <w:tcPr>
            <w:tcW w:w="3685" w:type="dxa"/>
          </w:tcPr>
          <w:p>
            <w:pPr>
              <w:pStyle w:val="0"/>
              <w:jc w:val="center"/>
            </w:pPr>
            <w:r>
              <w:rPr>
                <w:sz w:val="24"/>
              </w:rPr>
            </w:r>
          </w:p>
        </w:tc>
      </w:tr>
      <w:tr>
        <w:tc>
          <w:tcPr>
            <w:tcW w:w="624" w:type="dxa"/>
          </w:tcPr>
          <w:p>
            <w:pPr>
              <w:pStyle w:val="0"/>
              <w:jc w:val="center"/>
            </w:pPr>
            <w:r>
              <w:rPr>
                <w:sz w:val="24"/>
              </w:rPr>
              <w:t xml:space="preserve">4.</w:t>
            </w:r>
          </w:p>
        </w:tc>
        <w:tc>
          <w:tcPr>
            <w:tcW w:w="4762" w:type="dxa"/>
          </w:tcPr>
          <w:p>
            <w:pPr>
              <w:pStyle w:val="0"/>
              <w:jc w:val="both"/>
            </w:pPr>
            <w:r>
              <w:rPr>
                <w:sz w:val="24"/>
              </w:rPr>
              <w:t xml:space="preserve">Качественные результаты проекта (программы), достигнутые за период реализации проекта (программы), краткое изложение сути проделанной в рамках проекта (программы) работы</w:t>
            </w:r>
          </w:p>
        </w:tc>
        <w:tc>
          <w:tcPr>
            <w:tcW w:w="3685" w:type="dxa"/>
          </w:tcPr>
          <w:p>
            <w:pPr>
              <w:pStyle w:val="0"/>
              <w:jc w:val="center"/>
            </w:pPr>
            <w:r>
              <w:rPr>
                <w:sz w:val="24"/>
              </w:rPr>
            </w:r>
          </w:p>
        </w:tc>
      </w:tr>
      <w:tr>
        <w:tc>
          <w:tcPr>
            <w:tcW w:w="624" w:type="dxa"/>
          </w:tcPr>
          <w:p>
            <w:pPr>
              <w:pStyle w:val="0"/>
              <w:jc w:val="center"/>
            </w:pPr>
            <w:r>
              <w:rPr>
                <w:sz w:val="24"/>
              </w:rPr>
              <w:t xml:space="preserve">5.</w:t>
            </w:r>
          </w:p>
        </w:tc>
        <w:tc>
          <w:tcPr>
            <w:tcW w:w="4762" w:type="dxa"/>
          </w:tcPr>
          <w:p>
            <w:pPr>
              <w:pStyle w:val="0"/>
              <w:jc w:val="both"/>
            </w:pPr>
            <w:r>
              <w:rPr>
                <w:sz w:val="24"/>
              </w:rPr>
              <w:t xml:space="preserve">Использованные технологии и формы работы с целевыми группами проекта (программы)</w:t>
            </w:r>
          </w:p>
        </w:tc>
        <w:tc>
          <w:tcPr>
            <w:tcW w:w="3685" w:type="dxa"/>
          </w:tcPr>
          <w:p>
            <w:pPr>
              <w:pStyle w:val="0"/>
              <w:jc w:val="center"/>
            </w:pPr>
            <w:r>
              <w:rPr>
                <w:sz w:val="24"/>
              </w:rPr>
            </w:r>
          </w:p>
        </w:tc>
      </w:tr>
      <w:tr>
        <w:tc>
          <w:tcPr>
            <w:tcW w:w="624" w:type="dxa"/>
            <w:vMerge w:val="restart"/>
          </w:tcPr>
          <w:p>
            <w:pPr>
              <w:pStyle w:val="0"/>
              <w:jc w:val="center"/>
            </w:pPr>
            <w:r>
              <w:rPr>
                <w:sz w:val="24"/>
              </w:rPr>
              <w:t xml:space="preserve">6.</w:t>
            </w:r>
          </w:p>
        </w:tc>
        <w:tc>
          <w:tcPr>
            <w:tcW w:w="4762" w:type="dxa"/>
          </w:tcPr>
          <w:p>
            <w:pPr>
              <w:pStyle w:val="0"/>
              <w:jc w:val="both"/>
            </w:pPr>
            <w:r>
              <w:rPr>
                <w:sz w:val="24"/>
              </w:rPr>
              <w:t xml:space="preserve">Количественные результаты реализации проекта (программы), достигнутые за период реализации проекта (программы):</w:t>
            </w:r>
          </w:p>
        </w:tc>
        <w:tc>
          <w:tcPr>
            <w:tcW w:w="3685" w:type="dxa"/>
          </w:tcPr>
          <w:p>
            <w:pPr>
              <w:pStyle w:val="0"/>
              <w:jc w:val="center"/>
            </w:pPr>
            <w:r>
              <w:rPr>
                <w:sz w:val="24"/>
              </w:rPr>
            </w:r>
          </w:p>
        </w:tc>
      </w:tr>
      <w:tr>
        <w:tc>
          <w:tcPr>
            <w:vMerge w:val="continue"/>
          </w:tcPr>
          <w:p/>
        </w:tc>
        <w:tc>
          <w:tcPr>
            <w:tcW w:w="4762" w:type="dxa"/>
            <w:vAlign w:val="center"/>
          </w:tcPr>
          <w:p>
            <w:pPr>
              <w:pStyle w:val="0"/>
              <w:jc w:val="both"/>
            </w:pPr>
            <w:r>
              <w:rPr>
                <w:sz w:val="24"/>
              </w:rPr>
              <w:t xml:space="preserve">количество проведенных мероприятий, направленных на реализацию проекта (программы)</w:t>
            </w:r>
          </w:p>
        </w:tc>
        <w:tc>
          <w:tcPr>
            <w:tcW w:w="3685" w:type="dxa"/>
          </w:tcPr>
          <w:p>
            <w:pPr>
              <w:pStyle w:val="0"/>
              <w:jc w:val="center"/>
            </w:pPr>
            <w:r>
              <w:rPr>
                <w:sz w:val="24"/>
              </w:rPr>
            </w:r>
          </w:p>
        </w:tc>
      </w:tr>
      <w:tr>
        <w:tc>
          <w:tcPr>
            <w:vMerge w:val="continue"/>
          </w:tcPr>
          <w:p/>
        </w:tc>
        <w:tc>
          <w:tcPr>
            <w:tcW w:w="4762" w:type="dxa"/>
            <w:vAlign w:val="center"/>
          </w:tcPr>
          <w:p>
            <w:pPr>
              <w:pStyle w:val="0"/>
              <w:jc w:val="both"/>
            </w:pPr>
            <w:r>
              <w:rPr>
                <w:sz w:val="24"/>
              </w:rPr>
              <w:t xml:space="preserve">количество участников мероприятий, направленных на реализацию проекта (программы)</w:t>
            </w:r>
          </w:p>
        </w:tc>
        <w:tc>
          <w:tcPr>
            <w:tcW w:w="3685" w:type="dxa"/>
          </w:tcPr>
          <w:p>
            <w:pPr>
              <w:pStyle w:val="0"/>
              <w:jc w:val="center"/>
            </w:pPr>
            <w:r>
              <w:rPr>
                <w:sz w:val="24"/>
              </w:rPr>
            </w:r>
          </w:p>
        </w:tc>
      </w:tr>
      <w:tr>
        <w:tc>
          <w:tcPr>
            <w:tcW w:w="624" w:type="dxa"/>
          </w:tcPr>
          <w:p>
            <w:pPr>
              <w:pStyle w:val="0"/>
              <w:jc w:val="center"/>
            </w:pPr>
            <w:r>
              <w:rPr>
                <w:sz w:val="24"/>
              </w:rPr>
              <w:t xml:space="preserve">7.</w:t>
            </w:r>
          </w:p>
        </w:tc>
        <w:tc>
          <w:tcPr>
            <w:tcW w:w="4762" w:type="dxa"/>
          </w:tcPr>
          <w:p>
            <w:pPr>
              <w:pStyle w:val="0"/>
              <w:jc w:val="both"/>
            </w:pPr>
            <w:r>
              <w:rPr>
                <w:sz w:val="24"/>
              </w:rPr>
              <w:t xml:space="preserve">Информационное сопровождение проекта (программы) (освещение в средствах массовой информации и информационно-телекоммуникационной сети "Интернет": указать ссылки на размещение в печатных и электронных средствах массовой информации, социальных сетях)</w:t>
            </w:r>
          </w:p>
        </w:tc>
        <w:tc>
          <w:tcPr>
            <w:tcW w:w="3685" w:type="dxa"/>
          </w:tcPr>
          <w:p>
            <w:pPr>
              <w:pStyle w:val="0"/>
              <w:jc w:val="center"/>
            </w:pPr>
            <w:r>
              <w:rPr>
                <w:sz w:val="24"/>
              </w:rPr>
            </w:r>
          </w:p>
        </w:tc>
      </w:tr>
      <w:tr>
        <w:tc>
          <w:tcPr>
            <w:tcW w:w="624" w:type="dxa"/>
          </w:tcPr>
          <w:p>
            <w:pPr>
              <w:pStyle w:val="0"/>
              <w:jc w:val="center"/>
            </w:pPr>
            <w:r>
              <w:rPr>
                <w:sz w:val="24"/>
              </w:rPr>
              <w:t xml:space="preserve">8.</w:t>
            </w:r>
          </w:p>
        </w:tc>
        <w:tc>
          <w:tcPr>
            <w:tcW w:w="4762" w:type="dxa"/>
          </w:tcPr>
          <w:p>
            <w:pPr>
              <w:pStyle w:val="0"/>
              <w:jc w:val="both"/>
            </w:pPr>
            <w:r>
              <w:rPr>
                <w:sz w:val="24"/>
              </w:rPr>
              <w:t xml:space="preserve">Описание мероприятий, изображенных на приложенных фотографиях, например:</w:t>
            </w:r>
          </w:p>
          <w:p>
            <w:pPr>
              <w:pStyle w:val="0"/>
              <w:jc w:val="both"/>
            </w:pPr>
            <w:r>
              <w:rPr>
                <w:sz w:val="24"/>
              </w:rPr>
              <w:t xml:space="preserve">- фото 1;</w:t>
            </w:r>
          </w:p>
          <w:p>
            <w:pPr>
              <w:pStyle w:val="0"/>
              <w:jc w:val="both"/>
            </w:pPr>
            <w:r>
              <w:rPr>
                <w:sz w:val="24"/>
              </w:rPr>
              <w:t xml:space="preserve">- фото 2</w:t>
            </w:r>
          </w:p>
        </w:tc>
        <w:tc>
          <w:tcPr>
            <w:tcW w:w="3685" w:type="dxa"/>
          </w:tcPr>
          <w:p>
            <w:pPr>
              <w:pStyle w:val="0"/>
              <w:jc w:val="center"/>
            </w:pPr>
            <w:r>
              <w:rPr>
                <w:sz w:val="24"/>
              </w:rPr>
            </w:r>
          </w:p>
        </w:tc>
      </w:tr>
    </w:tbl>
    <w:p>
      <w:pPr>
        <w:pStyle w:val="0"/>
        <w:ind w:firstLine="540"/>
        <w:jc w:val="both"/>
      </w:pPr>
      <w:r>
        <w:rPr>
          <w:sz w:val="24"/>
        </w:rPr>
      </w:r>
    </w:p>
    <w:tbl>
      <w:tblPr>
        <w:tblInd w:w="0" w:type="dxa"/>
        <w:tblLayout w:type="fixed"/>
        <w:tblCellMar>
          <w:left w:w="62" w:type="dxa"/>
          <w:top w:w="102" w:type="dxa"/>
          <w:right w:w="62" w:type="dxa"/>
          <w:bottom w:w="102" w:type="dxa"/>
        </w:tblCellMar>
      </w:tblPr>
      <w:tblGrid>
        <w:gridCol w:w="2835"/>
        <w:gridCol w:w="1644"/>
        <w:gridCol w:w="4592"/>
      </w:tblGrid>
      <w:tr>
        <w:tc>
          <w:tcPr>
            <w:tcW w:w="2835" w:type="dxa"/>
            <w:tcBorders>
              <w:top w:val="none"/>
              <w:left w:val="none"/>
              <w:bottom w:val="single" w:sz="4"/>
              <w:right w:val="none"/>
            </w:tcBorders>
          </w:tcPr>
          <w:p>
            <w:pPr>
              <w:pStyle w:val="0"/>
            </w:pPr>
            <w:r>
              <w:rPr>
                <w:sz w:val="24"/>
              </w:rPr>
            </w:r>
          </w:p>
        </w:tc>
        <w:tc>
          <w:tcPr>
            <w:tcW w:w="1644" w:type="dxa"/>
            <w:tcBorders>
              <w:top w:val="none"/>
              <w:left w:val="none"/>
              <w:bottom w:val="none"/>
              <w:right w:val="none"/>
            </w:tcBorders>
          </w:tcPr>
          <w:p>
            <w:pPr>
              <w:pStyle w:val="0"/>
            </w:pPr>
            <w:r>
              <w:rPr>
                <w:sz w:val="24"/>
              </w:rPr>
            </w:r>
          </w:p>
        </w:tc>
        <w:tc>
          <w:tcPr>
            <w:tcW w:w="4592" w:type="dxa"/>
            <w:tcBorders>
              <w:top w:val="none"/>
              <w:left w:val="none"/>
              <w:bottom w:val="single" w:sz="4"/>
              <w:right w:val="none"/>
            </w:tcBorders>
          </w:tcPr>
          <w:p>
            <w:pPr>
              <w:pStyle w:val="0"/>
            </w:pPr>
            <w:r>
              <w:rPr>
                <w:sz w:val="24"/>
              </w:rPr>
            </w:r>
          </w:p>
        </w:tc>
      </w:tr>
      <w:tr>
        <w:tc>
          <w:tcPr>
            <w:tcW w:w="2835" w:type="dxa"/>
            <w:tcBorders>
              <w:top w:val="single" w:sz="4"/>
              <w:left w:val="none"/>
              <w:bottom w:val="none"/>
              <w:right w:val="none"/>
            </w:tcBorders>
          </w:tcPr>
          <w:p>
            <w:pPr>
              <w:pStyle w:val="0"/>
              <w:jc w:val="center"/>
            </w:pPr>
            <w:r>
              <w:rPr>
                <w:sz w:val="24"/>
              </w:rPr>
              <w:t xml:space="preserve">(подпись)</w:t>
            </w:r>
          </w:p>
        </w:tc>
        <w:tc>
          <w:tcPr>
            <w:tcW w:w="1644" w:type="dxa"/>
            <w:tcBorders>
              <w:top w:val="none"/>
              <w:left w:val="none"/>
              <w:bottom w:val="none"/>
              <w:right w:val="none"/>
            </w:tcBorders>
          </w:tcPr>
          <w:p>
            <w:pPr>
              <w:pStyle w:val="0"/>
              <w:jc w:val="center"/>
            </w:pPr>
            <w:r>
              <w:rPr>
                <w:sz w:val="24"/>
              </w:rPr>
            </w:r>
          </w:p>
        </w:tc>
        <w:tc>
          <w:tcPr>
            <w:tcW w:w="4592" w:type="dxa"/>
            <w:tcBorders>
              <w:top w:val="single" w:sz="4"/>
              <w:left w:val="none"/>
              <w:bottom w:val="none"/>
              <w:right w:val="none"/>
            </w:tcBorders>
          </w:tcPr>
          <w:p>
            <w:pPr>
              <w:pStyle w:val="0"/>
              <w:jc w:val="center"/>
            </w:pPr>
            <w:r>
              <w:rPr>
                <w:sz w:val="24"/>
              </w:rPr>
              <w:t xml:space="preserve">(расшифровка подписи)</w:t>
            </w:r>
          </w:p>
        </w:tc>
      </w:tr>
      <w:tr>
        <w:tc>
          <w:tcPr>
            <w:tcW w:w="9071" w:type="dxa"/>
            <w:gridSpan w:val="3"/>
            <w:tcBorders>
              <w:top w:val="none"/>
              <w:left w:val="none"/>
              <w:bottom w:val="none"/>
              <w:right w:val="none"/>
            </w:tcBorders>
          </w:tcPr>
          <w:p>
            <w:pPr>
              <w:pStyle w:val="0"/>
              <w:jc w:val="both"/>
            </w:pPr>
            <w:r>
              <w:rPr>
                <w:sz w:val="24"/>
              </w:rPr>
            </w:r>
          </w:p>
        </w:tc>
      </w:tr>
      <w:tr>
        <w:tc>
          <w:tcPr>
            <w:tcW w:w="9071" w:type="dxa"/>
            <w:gridSpan w:val="3"/>
            <w:tcBorders>
              <w:top w:val="none"/>
              <w:left w:val="none"/>
              <w:bottom w:val="none"/>
              <w:right w:val="none"/>
            </w:tcBorders>
          </w:tcPr>
          <w:p>
            <w:pPr>
              <w:pStyle w:val="0"/>
              <w:jc w:val="both"/>
            </w:pPr>
            <w:r>
              <w:rPr>
                <w:sz w:val="24"/>
              </w:rPr>
              <w:t xml:space="preserve">"___" __________ 20___ года</w:t>
            </w:r>
          </w:p>
        </w:tc>
      </w:tr>
    </w:tbl>
    <w:p>
      <w:pPr>
        <w:pStyle w:val="0"/>
      </w:pPr>
      <w:r>
        <w:rPr>
          <w:sz w:val="24"/>
        </w:rPr>
      </w:r>
    </w:p>
    <w:p>
      <w:pPr>
        <w:pStyle w:val="0"/>
      </w:pPr>
      <w:r>
        <w:rPr>
          <w:sz w:val="24"/>
        </w:rPr>
      </w:r>
    </w:p>
    <w:p>
      <w:pPr>
        <w:pStyle w:val="0"/>
      </w:pPr>
      <w:r>
        <w:rPr>
          <w:sz w:val="24"/>
        </w:rPr>
      </w:r>
    </w:p>
    <w:p>
      <w:pPr>
        <w:pStyle w:val="0"/>
      </w:pPr>
      <w:r>
        <w:rPr>
          <w:sz w:val="24"/>
        </w:rPr>
      </w:r>
    </w:p>
    <w:p>
      <w:pPr>
        <w:pStyle w:val="0"/>
      </w:pPr>
      <w:r>
        <w:rPr>
          <w:sz w:val="24"/>
        </w:rPr>
      </w:r>
    </w:p>
    <w:p>
      <w:pPr>
        <w:pStyle w:val="0"/>
        <w:jc w:val="right"/>
        <w:outlineLvl w:val="0"/>
      </w:pPr>
      <w:r>
        <w:rPr>
          <w:sz w:val="24"/>
        </w:rPr>
        <w:t xml:space="preserve">Приложение 2</w:t>
      </w:r>
    </w:p>
    <w:p>
      <w:pPr>
        <w:pStyle w:val="0"/>
        <w:jc w:val="right"/>
      </w:pPr>
      <w:r>
        <w:rPr>
          <w:sz w:val="24"/>
        </w:rPr>
        <w:t xml:space="preserve">к постановлению</w:t>
      </w:r>
    </w:p>
    <w:p>
      <w:pPr>
        <w:pStyle w:val="0"/>
        <w:jc w:val="right"/>
      </w:pPr>
      <w:r>
        <w:rPr>
          <w:sz w:val="24"/>
        </w:rPr>
        <w:t xml:space="preserve">администрации города</w:t>
      </w:r>
    </w:p>
    <w:p>
      <w:pPr>
        <w:pStyle w:val="0"/>
        <w:jc w:val="right"/>
      </w:pPr>
      <w:r>
        <w:rPr>
          <w:sz w:val="24"/>
        </w:rPr>
        <w:t xml:space="preserve">от 31.07.2025 N 694</w:t>
      </w:r>
    </w:p>
    <w:p>
      <w:pPr>
        <w:pStyle w:val="0"/>
      </w:pPr>
      <w:r>
        <w:rPr>
          <w:sz w:val="24"/>
        </w:rPr>
      </w:r>
    </w:p>
    <w:bookmarkStart w:id="713" w:name="P713"/>
    <w:bookmarkEnd w:id="713"/>
    <w:p>
      <w:pPr>
        <w:pStyle w:val="2"/>
        <w:jc w:val="center"/>
      </w:pPr>
      <w:r>
        <w:rPr>
          <w:sz w:val="24"/>
        </w:rPr>
        <w:t xml:space="preserve">СОСТАВ</w:t>
      </w:r>
    </w:p>
    <w:p>
      <w:pPr>
        <w:pStyle w:val="2"/>
        <w:jc w:val="center"/>
      </w:pPr>
      <w:r>
        <w:rPr>
          <w:sz w:val="24"/>
        </w:rPr>
        <w:t xml:space="preserve">КОМИССИИ ПО ПРОВЕДЕНИЮ КОНКУРСА ПРОЕКТОВ (ПРОГРАММ) В СФЕРЕ</w:t>
      </w:r>
    </w:p>
    <w:p>
      <w:pPr>
        <w:pStyle w:val="2"/>
        <w:jc w:val="center"/>
      </w:pPr>
      <w:r>
        <w:rPr>
          <w:sz w:val="24"/>
        </w:rPr>
        <w:t xml:space="preserve">ПРОФИЛАКТИКИ НЕЗАКОННОГО ПОТРЕБЛЕНИЯ НАРКОТИЧЕСКИХ СРЕДСТВ,</w:t>
      </w:r>
    </w:p>
    <w:p>
      <w:pPr>
        <w:pStyle w:val="2"/>
        <w:jc w:val="center"/>
      </w:pPr>
      <w:r>
        <w:rPr>
          <w:sz w:val="24"/>
        </w:rPr>
        <w:t xml:space="preserve">ПСИХОТРОПНЫХ ВЕЩЕСТВ, АНТИНАРКОТИЧЕСКОЙ ПРОПАГАНДЫ</w:t>
      </w:r>
    </w:p>
    <w:p>
      <w:pPr>
        <w:pStyle w:val="0"/>
      </w:pPr>
      <w:r>
        <w:rPr>
          <w:sz w:val="24"/>
        </w:rPr>
      </w:r>
    </w:p>
    <w:p>
      <w:pPr>
        <w:pStyle w:val="0"/>
        <w:ind w:firstLine="540"/>
        <w:jc w:val="both"/>
      </w:pPr>
      <w:r>
        <w:rPr>
          <w:sz w:val="24"/>
        </w:rPr>
        <w:t xml:space="preserve">Начальник управления по вопросам законности, правопорядка и безопасности администрации города, председатель комиссии</w:t>
      </w:r>
    </w:p>
    <w:p>
      <w:pPr>
        <w:pStyle w:val="0"/>
        <w:spacing w:before="240"/>
        <w:ind w:firstLine="540"/>
        <w:jc w:val="both"/>
      </w:pPr>
      <w:r>
        <w:rPr>
          <w:sz w:val="24"/>
        </w:rPr>
        <w:t xml:space="preserve">Представитель отдела по профилактике правонарушений управления по вопросам законности, правопорядка и безопасности администрации города, секретарь комиссии</w:t>
      </w:r>
    </w:p>
    <w:p>
      <w:pPr>
        <w:pStyle w:val="0"/>
        <w:spacing w:before="240"/>
        <w:ind w:firstLine="540"/>
        <w:jc w:val="both"/>
      </w:pPr>
      <w:r>
        <w:rPr>
          <w:sz w:val="24"/>
        </w:rPr>
        <w:t xml:space="preserve">Представитель бюджетного учреждения Ханты-Мансийского автономного округа - Югры "Нижневартовская психоневрологическая больница" (по согласованию)</w:t>
      </w:r>
    </w:p>
    <w:p>
      <w:pPr>
        <w:pStyle w:val="0"/>
        <w:spacing w:before="240"/>
        <w:ind w:firstLine="540"/>
        <w:jc w:val="both"/>
      </w:pPr>
      <w:r>
        <w:rPr>
          <w:sz w:val="24"/>
        </w:rPr>
        <w:t xml:space="preserve">Представитель общественной палаты города Нижневартовска (по согласованию)</w:t>
      </w:r>
    </w:p>
    <w:p>
      <w:pPr>
        <w:pStyle w:val="0"/>
        <w:spacing w:before="240"/>
        <w:ind w:firstLine="540"/>
        <w:jc w:val="both"/>
      </w:pPr>
      <w:r>
        <w:rPr>
          <w:sz w:val="24"/>
        </w:rPr>
        <w:t xml:space="preserve">Представитель отдела по контролю за оборотом наркотиков Управления Министерства внутренних дел Российской Федерации по городу Нижневартовску (по согласованию)</w:t>
      </w:r>
    </w:p>
    <w:p>
      <w:pPr>
        <w:pStyle w:val="0"/>
        <w:spacing w:before="240"/>
        <w:ind w:firstLine="540"/>
        <w:jc w:val="both"/>
      </w:pPr>
      <w:r>
        <w:rPr>
          <w:sz w:val="24"/>
        </w:rPr>
        <w:t xml:space="preserve">Представитель отдела по организации деятельности муниципальной комиссии по делам несовершеннолетних и защите их прав администрации города</w:t>
      </w:r>
    </w:p>
    <w:p>
      <w:pPr>
        <w:pStyle w:val="0"/>
        <w:spacing w:before="240"/>
        <w:ind w:firstLine="540"/>
        <w:jc w:val="both"/>
      </w:pPr>
      <w:r>
        <w:rPr>
          <w:sz w:val="24"/>
        </w:rPr>
        <w:t xml:space="preserve">Представитель региональной общественной организации "Страна без наркотиков. Югра" (по согласованию)</w:t>
      </w:r>
    </w:p>
    <w:p>
      <w:pPr>
        <w:pStyle w:val="0"/>
        <w:spacing w:before="240"/>
        <w:ind w:firstLine="540"/>
        <w:jc w:val="both"/>
      </w:pPr>
      <w:r>
        <w:rPr>
          <w:sz w:val="24"/>
        </w:rPr>
        <w:t xml:space="preserve">Представитель Управления социальной защиты населения, опеки и попечительства по городу Нижневартовску и Нижневартовскому району Департамента социального развития Ханты-Мансийского автономного округа - Югры (по согласованию)</w:t>
      </w:r>
    </w:p>
    <w:p>
      <w:pPr>
        <w:pStyle w:val="0"/>
        <w:spacing w:before="240"/>
        <w:ind w:firstLine="540"/>
        <w:jc w:val="both"/>
      </w:pPr>
      <w:r>
        <w:rPr>
          <w:sz w:val="24"/>
        </w:rPr>
        <w:t xml:space="preserve">Представитель филиала в городе Нижневартовске бюджетного учреждения Ханты-Мансийского автономного округа - Югры "Центр общественного здоровья и медицинской профилактики" (по согласованию)</w:t>
      </w:r>
    </w:p>
    <w:p>
      <w:pPr>
        <w:pStyle w:val="0"/>
        <w:ind w:firstLine="540"/>
        <w:jc w:val="both"/>
      </w:pPr>
      <w:r>
        <w:rPr>
          <w:sz w:val="24"/>
        </w:rPr>
      </w:r>
    </w:p>
    <w:p>
      <w:pPr>
        <w:pStyle w:val="0"/>
        <w:ind w:firstLine="540"/>
        <w:jc w:val="both"/>
      </w:pPr>
      <w:r>
        <w:rPr>
          <w:sz w:val="24"/>
        </w:rPr>
      </w:r>
    </w:p>
    <w:p>
      <w:pPr>
        <w:pStyle w:val="0"/>
        <w:pBdr>
          <w:bottom w:val="single" w:color="auto" w:sz="6" w:space="0"/>
        </w:pBdr>
        <w:spacing w:before="100" w:after="100"/>
        <w:jc w:val="both"/>
        <w:rPr>
          <w:sz w:val="2"/>
          <w:szCs w:val="2"/>
        </w:rPr>
      </w:pPr>
    </w:p>
    <w:sectPr>
      <w:headerReference w:type="default" r:id="rId6"/>
      <w:headerReference w:type="first" r:id="rId7"/>
      <w:footerReference w:type="default" r:id="rId8"/>
      <w:footerReference w:type="first" r:id="rId9"/>
      <w:pgSz w:w="11906" w:h="16838"/>
      <w:pgMar w:top="1440" w:right="566" w:bottom="1440" w:left="1133" w:header="0" w:footer="0" w:gutter="0"/>
      <w:cols w:space="708"/>
      <w:docGrid w:linePitch="360"/>
      <w:titlePg/>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ahoma">
    <w:panose1 w:val="020B0604030504040204"/>
  </w:font>
  <w:font w:name="Arial">
    <w:panose1 w:val="020B0604020202020204"/>
  </w:font>
  <w:font w:name="Courier New">
    <w:panose1 w:val="02070309020205020404"/>
  </w:font>
  <w:font w:name="Times New Roman">
    <w:panose1 w:val="02020603050405020304"/>
  </w:font>
  <w:font w:name="Calibri">
    <w:panose1 w:val="020F0502020204030204"/>
  </w:font>
  <w:font w:name="Cambria">
    <w:panose1 w:val="02040503050406030204"/>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Bdr>
        <w:bottom w:val="single" w:color="auto" w:sz="12" w:space="0"/>
      </w:pBdr>
      <w:rPr>
        <w:sz w:val="2"/>
        <w:szCs w:val="2"/>
      </w:rPr>
    </w:pPr>
  </w:p>
  <w:tbl>
    <w:tblPr>
      <w:tblW w:w="5000" w:type="pct"/>
      <w:tblInd w:w="0" w:type="dxa"/>
      <w:tblCellMar>
        <w:left w:w="40" w:type="dxa"/>
        <w:right w:w="40" w:type="dxa"/>
      </w:tblCellMar>
      <w:tblLook w:val="0000" w:firstRow="0" w:lastRow="0" w:firstColumn="0" w:lastColumn="0" w:noHBand="0" w:noVBand="0"/>
    </w:tblPr>
    <w:tblGrid>
      <w:gridCol w:w="1"/>
      <w:gridCol w:w="1"/>
      <w:gridCol w:w="1"/>
    </w:tblGrid>
    <w:tr>
      <w:trPr>
        <w:trHeight w:val="1663" w:hRule="exact"/>
      </w:trPr>
      <w:tc>
        <w:tcPr>
          <w:tcW w:w="1650" w:type="pct"/>
          <w:vAlign w:val="center"/>
        </w:tcPr>
        <w:p>
          <w:r>
            <w:rPr>
              <w:rFonts w:ascii="Tahoma" w:hAnsi="Tahoma" w:cs="Tahoma"/>
              <w:b/>
              <w:color w:val="f58220"/>
              <w:sz w:val="28"/>
              <w:szCs w:val="28"/>
            </w:rPr>
            <w:t xml:space="preserve">КонсультантПлюс</w:t>
          </w:r>
          <w:r>
            <w:rPr>
              <w:rFonts w:ascii="Tahoma" w:hAnsi="Tahoma" w:cs="Tahoma"/>
              <w:b/>
              <w:sz w:val="16"/>
              <w:szCs w:val="16"/>
            </w:rPr>
            <w:br/>
            <w:t xml:space="preserve">надежная правовая поддержка</w:t>
          </w:r>
        </w:p>
      </w:tc>
      <w:tc>
        <w:tcPr>
          <w:tcW w:w="1700" w:type="pct"/>
          <w:vAlign w:val="center"/>
        </w:tcPr>
        <w:p>
          <w:pPr>
            <w:jc w:val="center"/>
          </w:pPr>
          <w:hyperlink r:id="rId1" w:history="0">
            <w:r>
              <w:rPr>
                <w:rFonts w:ascii="Tahoma" w:hAnsi="Tahoma" w:cs="Tahoma"/>
                <w:b/>
                <w:color w:val="0000ff"/>
              </w:rPr>
              <w:t xml:space="preserve">www.consultant.ru</w:t>
            </w:r>
          </w:hyperlink>
        </w:p>
      </w:tc>
      <w:tc>
        <w:tcPr>
          <w:tcW w:w="1650" w:type="pct"/>
          <w:vAlign w:val="center"/>
        </w:tcPr>
        <w:p>
          <w:pPr>
            <w:jc w:val="right"/>
          </w:pPr>
          <w:r>
            <w:rPr>
              <w:rFonts w:ascii="Tahoma" w:hAnsi="Tahoma" w:cs="Tahoma"/>
            </w:rPr>
            <w:t xml:space="preserve">Страница </w:t>
          </w:r>
          <w:r>
            <w:fldChar w:fldCharType="begin"/>
          </w:r>
          <w:r>
            <w:rPr>
              <w:rFonts w:ascii="Tahoma" w:hAnsi="Tahoma" w:cs="Tahoma"/>
            </w:rPr>
            <w:instrText xml:space="preserve">PAGE</w:instrText>
          </w:r>
          <w:r>
            <w:fldChar w:fldCharType="separate"/>
          </w:r>
          <w:r>
            <w:rPr>
              <w:rFonts w:ascii="Tahoma" w:hAnsi="Tahoma" w:cs="Tahoma"/>
            </w:rPr>
            <w:t xml:space="preserve">5</w:t>
          </w:r>
          <w:r>
            <w:fldChar w:fldCharType="end"/>
          </w:r>
          <w:r>
            <w:rPr>
              <w:rFonts w:ascii="Tahoma" w:hAnsi="Tahoma" w:cs="Tahoma"/>
            </w:rPr>
            <w:t xml:space="preserve"> из </w:t>
          </w:r>
          <w:r>
            <w:fldChar w:fldCharType="begin"/>
          </w:r>
          <w:r>
            <w:rPr>
              <w:rFonts w:ascii="Tahoma" w:hAnsi="Tahoma" w:cs="Tahoma"/>
            </w:rPr>
            <w:instrText xml:space="preserve">NUMPAGES</w:instrText>
          </w:r>
          <w:r>
            <w:fldChar w:fldCharType="separate"/>
          </w:r>
          <w:r>
            <w:rPr>
              <w:rFonts w:ascii="Tahoma" w:hAnsi="Tahoma" w:cs="Tahoma"/>
            </w:rPr>
            <w:t xml:space="preserve">5</w:t>
          </w:r>
          <w:r>
            <w:fldChar w:fldCharType="end"/>
          </w:r>
        </w:p>
      </w:tc>
    </w:tr>
  </w:tbl>
  <w:p>
    <w:r>
      <w:rPr>
        <w:sz w:val="2"/>
        <w:szCs w:val="2"/>
      </w:rPr>
      <w:t xml:space="preserve">1</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Bdr>
        <w:bottom w:val="single" w:color="auto" w:sz="12" w:space="0"/>
      </w:pBdr>
      <w:rPr>
        <w:sz w:val="2"/>
        <w:szCs w:val="2"/>
      </w:rPr>
    </w:pPr>
  </w:p>
  <w:tbl>
    <w:tblPr>
      <w:tblW w:w="5000" w:type="pct"/>
      <w:tblInd w:w="0" w:type="dxa"/>
      <w:tblCellMar>
        <w:left w:w="40" w:type="dxa"/>
        <w:right w:w="40" w:type="dxa"/>
      </w:tblCellMar>
      <w:tblLook w:val="0000" w:firstRow="0" w:lastRow="0" w:firstColumn="0" w:lastColumn="0" w:noHBand="0" w:noVBand="0"/>
    </w:tblPr>
    <w:tblGrid>
      <w:gridCol w:w="1"/>
      <w:gridCol w:w="1"/>
      <w:gridCol w:w="1"/>
    </w:tblGrid>
    <w:tr>
      <w:trPr>
        <w:trHeight w:val="1663" w:hRule="exact"/>
      </w:trPr>
      <w:tc>
        <w:tcPr>
          <w:tcW w:w="1650" w:type="pct"/>
          <w:vAlign w:val="center"/>
        </w:tcPr>
        <w:p>
          <w:r>
            <w:rPr>
              <w:rFonts w:ascii="Tahoma" w:hAnsi="Tahoma" w:cs="Tahoma"/>
              <w:b/>
              <w:color w:val="f58220"/>
              <w:sz w:val="28"/>
              <w:szCs w:val="28"/>
            </w:rPr>
            <w:t xml:space="preserve">КонсультантПлюс</w:t>
          </w:r>
          <w:r>
            <w:rPr>
              <w:rFonts w:ascii="Tahoma" w:hAnsi="Tahoma" w:cs="Tahoma"/>
              <w:b/>
              <w:sz w:val="16"/>
              <w:szCs w:val="16"/>
            </w:rPr>
            <w:br/>
            <w:t xml:space="preserve">надежная правовая поддержка</w:t>
          </w:r>
        </w:p>
      </w:tc>
      <w:tc>
        <w:tcPr>
          <w:tcW w:w="1700" w:type="pct"/>
          <w:vAlign w:val="center"/>
        </w:tcPr>
        <w:p>
          <w:pPr>
            <w:jc w:val="center"/>
          </w:pPr>
          <w:hyperlink r:id="rId1" w:history="0">
            <w:r>
              <w:rPr>
                <w:rFonts w:ascii="Tahoma" w:hAnsi="Tahoma" w:cs="Tahoma"/>
                <w:b/>
                <w:color w:val="0000ff"/>
              </w:rPr>
              <w:t xml:space="preserve">www.consultant.ru</w:t>
            </w:r>
          </w:hyperlink>
        </w:p>
      </w:tc>
      <w:tc>
        <w:tcPr>
          <w:tcW w:w="1650" w:type="pct"/>
          <w:vAlign w:val="center"/>
        </w:tcPr>
        <w:p>
          <w:pPr>
            <w:jc w:val="right"/>
          </w:pPr>
          <w:r>
            <w:rPr>
              <w:rFonts w:ascii="Tahoma" w:hAnsi="Tahoma" w:cs="Tahoma"/>
            </w:rPr>
            <w:t xml:space="preserve">Страница </w:t>
          </w:r>
          <w:r>
            <w:fldChar w:fldCharType="begin"/>
          </w:r>
          <w:r>
            <w:rPr>
              <w:rFonts w:ascii="Tahoma" w:hAnsi="Tahoma" w:cs="Tahoma"/>
            </w:rPr>
            <w:instrText xml:space="preserve">PAGE</w:instrText>
          </w:r>
          <w:r>
            <w:fldChar w:fldCharType="separate"/>
          </w:r>
          <w:r>
            <w:rPr>
              <w:rFonts w:ascii="Tahoma" w:hAnsi="Tahoma" w:cs="Tahoma"/>
            </w:rPr>
            <w:t xml:space="preserve">5</w:t>
          </w:r>
          <w:r>
            <w:fldChar w:fldCharType="end"/>
          </w:r>
          <w:r>
            <w:rPr>
              <w:rFonts w:ascii="Tahoma" w:hAnsi="Tahoma" w:cs="Tahoma"/>
            </w:rPr>
            <w:t xml:space="preserve"> из </w:t>
          </w:r>
          <w:r>
            <w:fldChar w:fldCharType="begin"/>
          </w:r>
          <w:r>
            <w:rPr>
              <w:rFonts w:ascii="Tahoma" w:hAnsi="Tahoma" w:cs="Tahoma"/>
            </w:rPr>
            <w:instrText xml:space="preserve">NUMPAGES</w:instrText>
          </w:r>
          <w:r>
            <w:fldChar w:fldCharType="separate"/>
          </w:r>
          <w:r>
            <w:rPr>
              <w:rFonts w:ascii="Tahoma" w:hAnsi="Tahoma" w:cs="Tahoma"/>
            </w:rPr>
            <w:t xml:space="preserve">5</w:t>
          </w:r>
          <w:r>
            <w:fldChar w:fldCharType="end"/>
          </w:r>
        </w:p>
      </w:tc>
    </w:tr>
  </w:tbl>
  <w:p>
    <w:r>
      <w:rPr>
        <w:sz w:val="2"/>
        <w:szCs w:val="2"/>
      </w:rPr>
      <w:t xml:space="preserve">1</w: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tbl>
    <w:tblPr>
      <w:tblW w:w="5000" w:type="pct"/>
      <w:tblInd w:w="0" w:type="dxa"/>
      <w:tblLayout w:type="fixed"/>
      <w:tblCellMar>
        <w:left w:w="40" w:type="dxa"/>
        <w:right w:w="40" w:type="dxa"/>
      </w:tblCellMar>
    </w:tblPr>
    <w:tblGrid>
      <w:gridCol w:w="1"/>
      <w:gridCol w:w="1"/>
    </w:tblGrid>
    <w:tr>
      <w:trPr>
        <w:trHeight w:val="1683" w:hRule="exact"/>
      </w:trPr>
      <w:tc>
        <w:tcPr>
          <w:tcW w:w="2700" w:type="pct"/>
          <w:vAlign w:val="center"/>
        </w:tcPr>
        <w:p>
          <w:pPr>
            <w:rPr>
              <w:rFonts w:ascii="Tahoma" w:hAnsi="Tahoma" w:cs="Tahoma"/>
            </w:rPr>
          </w:pPr>
          <w:r>
            <w:rPr>
              <w:rFonts w:ascii="Tahoma" w:hAnsi="Tahoma" w:cs="Tahoma"/>
              <w:sz w:val="16"/>
              <w:szCs w:val="16"/>
            </w:rPr>
            <w:t xml:space="preserve">Постановление Администрации города Нижневартовска от 31.07.2025 N 694</w:t>
            <w:br/>
            <w:t xml:space="preserve">(ред. от 17.06.2026)</w:t>
            <w:br/>
            <w:t xml:space="preserve">"О предоставлении грантов в ф...</w:t>
          </w:r>
        </w:p>
      </w:tc>
      <w:tc>
        <w:tcPr>
          <w:tcW w:w="2300" w:type="pct"/>
          <w:vAlign w:val="center"/>
        </w:tcPr>
        <w:p>
          <w:pPr>
            <w:jc w:val="right"/>
            <w:rPr>
              <w:rFonts w:ascii="Tahoma" w:hAnsi="Tahoma" w:cs="Tahoma"/>
            </w:rPr>
          </w:pPr>
          <w:r>
            <w:rPr>
              <w:rFonts w:ascii="Tahoma" w:hAnsi="Tahoma" w:cs="Tahoma"/>
              <w:sz w:val="18"/>
              <w:szCs w:val="18"/>
            </w:rPr>
            <w:t xml:space="preserve">Документ предоставлен </w:t>
          </w:r>
          <w:hyperlink r:id="rId1" w:tooltip="КонсультантПлюс - надежная правовая система" w:history="0">
            <w:r>
              <w:rPr>
                <w:rFonts w:ascii="Tahoma" w:hAnsi="Tahoma" w:cs="Tahoma"/>
                <w:color w:val="0000ff"/>
                <w:sz w:val="18"/>
                <w:szCs w:val="18"/>
              </w:rPr>
              <w:t xml:space="preserve">КонсультантПлюс</w:t>
            </w:r>
          </w:hyperlink>
          <w:r>
            <w:rPr>
              <w:rFonts w:ascii="Tahoma" w:hAnsi="Tahoma" w:cs="Tahoma"/>
              <w:sz w:val="18"/>
              <w:szCs w:val="18"/>
            </w:rPr>
            <w:br/>
          </w:r>
          <w:r>
            <w:rPr>
              <w:rFonts w:ascii="Tahoma" w:hAnsi="Tahoma" w:cs="Tahoma"/>
              <w:sz w:val="16"/>
              <w:szCs w:val="16"/>
            </w:rPr>
            <w:t xml:space="preserve">Дата сохранения: 17.08.2026</w:t>
          </w:r>
        </w:p>
      </w:tc>
    </w:tr>
  </w:tbl>
  <w:p>
    <w:pPr>
      <w:pBdr>
        <w:bottom w:val="single" w:color="auto" w:sz="12" w:space="0"/>
      </w:pBdr>
      <w:rPr>
        <w:sz w:val="2"/>
        <w:szCs w:val="2"/>
      </w:rPr>
    </w:pPr>
  </w:p>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tbl>
    <w:tblPr>
      <w:tblW w:w="5000" w:type="pct"/>
      <w:tblInd w:w="0" w:type="dxa"/>
      <w:tblLayout w:type="fixed"/>
      <w:tblCellMar>
        <w:left w:w="40" w:type="dxa"/>
        <w:right w:w="40" w:type="dxa"/>
      </w:tblCellMar>
    </w:tblPr>
    <w:tblGrid>
      <w:gridCol w:w="1"/>
      <w:gridCol w:w="1"/>
    </w:tblGrid>
    <w:tr>
      <w:trPr>
        <w:trHeight w:val="1683" w:hRule="exact"/>
      </w:trPr>
      <w:tc>
        <w:tcPr>
          <w:tcW w:w="2700" w:type="pct"/>
          <w:vAlign w:val="center"/>
        </w:tcPr>
        <w:p>
          <w:pPr>
            <w:rPr>
              <w:rFonts w:ascii="Tahoma" w:hAnsi="Tahoma" w:cs="Tahoma"/>
            </w:rPr>
          </w:pPr>
          <w:r>
            <w:rPr>
              <w:rFonts w:ascii="Tahoma" w:hAnsi="Tahoma" w:cs="Tahoma"/>
              <w:sz w:val="16"/>
              <w:szCs w:val="16"/>
            </w:rPr>
            <w:t xml:space="preserve">Постановление Администрации города Нижневартовска от 31.07.2025 N 694</w:t>
            <w:br/>
            <w:t xml:space="preserve">(ред. от 17.06.2026)</w:t>
            <w:br/>
            <w:t xml:space="preserve">"О предоставлении грантов в ф...</w:t>
          </w:r>
        </w:p>
      </w:tc>
      <w:tc>
        <w:tcPr>
          <w:tcW w:w="2300" w:type="pct"/>
          <w:vAlign w:val="center"/>
        </w:tcPr>
        <w:p>
          <w:pPr>
            <w:jc w:val="right"/>
            <w:rPr>
              <w:rFonts w:ascii="Tahoma" w:hAnsi="Tahoma" w:cs="Tahoma"/>
            </w:rPr>
          </w:pPr>
          <w:r>
            <w:rPr>
              <w:rFonts w:ascii="Tahoma" w:hAnsi="Tahoma" w:cs="Tahoma"/>
              <w:sz w:val="18"/>
              <w:szCs w:val="18"/>
            </w:rPr>
            <w:t xml:space="preserve">Документ предоставлен </w:t>
          </w:r>
          <w:hyperlink r:id="rId1" w:tooltip="КонсультантПлюс - надежная правовая система" w:history="0">
            <w:r>
              <w:rPr>
                <w:rFonts w:ascii="Tahoma" w:hAnsi="Tahoma" w:cs="Tahoma"/>
                <w:color w:val="0000ff"/>
                <w:sz w:val="18"/>
                <w:szCs w:val="18"/>
              </w:rPr>
              <w:t xml:space="preserve">КонсультантПлюс</w:t>
            </w:r>
          </w:hyperlink>
          <w:r>
            <w:rPr>
              <w:rFonts w:ascii="Tahoma" w:hAnsi="Tahoma" w:cs="Tahoma"/>
              <w:sz w:val="18"/>
              <w:szCs w:val="18"/>
            </w:rPr>
            <w:br/>
          </w:r>
          <w:r>
            <w:rPr>
              <w:rFonts w:ascii="Tahoma" w:hAnsi="Tahoma" w:cs="Tahoma"/>
              <w:sz w:val="16"/>
              <w:szCs w:val="16"/>
            </w:rPr>
            <w:t xml:space="preserve">Дата сохранения: 17.08.2026</w:t>
          </w:r>
        </w:p>
      </w:tc>
    </w:tr>
  </w:tbl>
  <w:p>
    <w:pPr>
      <w:pBdr>
        <w:bottom w:val="single" w:color="auto" w:sz="12" w:space="0"/>
      </w:pBdr>
      <w:rPr>
        <w:sz w:val="2"/>
        <w:szCs w:val="2"/>
      </w:rPr>
    </w:pPr>
  </w:p>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characterSpacingControl w:val="doNotCompress"/>
  <w:themeFontLang w:val="en-US" w:eastAsia="zh-CN"/>
  <w:shapeDefaults>
    <o:shapedefaults v:ext="edit" spidmax="1026" strokecolor="000000"/>
    <o:shapelayout v:ext="edit">
      <o:idmap v:ext="edit" data="1"/>
    </o:shapelayout>
  </w:shapeDefaul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lang w:val="ru-RU" w:eastAsia="ru-RU" w:bidi="ar-SA"/>
      </w:rPr>
    </w:rPrDefault>
    <w:pPrDefault>
      <w:pPr>
        <w:spacing w:before="0" w:after="0" w:line="24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styleId="0" w:default="1" w:customStyle="1">
    <w:name w:val="ConsPlusNormal"/>
    <w:pPr>
      <w:widowControl w:val="off"/>
    </w:pPr>
    <w:rPr>
      <w:rFonts w:ascii="Times New Roman" w:hAnsi="Times New Roman" w:cs="Times New Roman"/>
      <w:sz w:val="24"/>
      <w:lang w:val="ru-RU" w:eastAsia="ru-RU" w:bidi="ar-SA"/>
    </w:rPr>
  </w:style>
  <w:style w:type="paragraph" w:styleId="1" w:customStyle="1">
    <w:name w:val="ConsPlusNonformat"/>
    <w:pPr>
      <w:widowControl w:val="off"/>
    </w:pPr>
    <w:rPr>
      <w:rFonts w:ascii="Courier New" w:hAnsi="Courier New" w:cs="Courier New"/>
      <w:sz w:val="20"/>
      <w:lang w:val="ru-RU" w:eastAsia="ru-RU" w:bidi="ar-SA"/>
    </w:rPr>
  </w:style>
  <w:style w:type="paragraph" w:styleId="2" w:customStyle="1">
    <w:name w:val="ConsPlusTitle"/>
    <w:pPr>
      <w:widowControl w:val="off"/>
    </w:pPr>
    <w:rPr>
      <w:rFonts w:ascii="Arial" w:hAnsi="Arial" w:cs="Arial"/>
      <w:b/>
      <w:sz w:val="24"/>
      <w:lang w:val="ru-RU" w:eastAsia="ru-RU" w:bidi="ar-SA"/>
    </w:rPr>
  </w:style>
  <w:style w:type="paragraph" w:styleId="3" w:customStyle="1">
    <w:name w:val="ConsPlusCell"/>
    <w:pPr>
      <w:widowControl w:val="off"/>
    </w:pPr>
    <w:rPr>
      <w:rFonts w:ascii="Courier New" w:hAnsi="Courier New" w:cs="Courier New"/>
      <w:sz w:val="20"/>
      <w:lang w:val="ru-RU" w:eastAsia="ru-RU" w:bidi="ar-SA"/>
    </w:rPr>
  </w:style>
  <w:style w:type="paragraph" w:styleId="4" w:customStyle="1">
    <w:name w:val="ConsPlusDocList"/>
    <w:pPr>
      <w:widowControl w:val="off"/>
    </w:pPr>
    <w:rPr>
      <w:rFonts w:ascii="Tahoma" w:hAnsi="Tahoma" w:cs="Tahoma"/>
      <w:sz w:val="18"/>
      <w:lang w:val="ru-RU" w:eastAsia="ru-RU" w:bidi="ar-SA"/>
    </w:rPr>
  </w:style>
  <w:style w:type="paragraph" w:styleId="5" w:customStyle="1">
    <w:name w:val="ConsPlusTitlePage"/>
    <w:pPr>
      <w:widowControl w:val="off"/>
    </w:pPr>
    <w:rPr>
      <w:rFonts w:ascii="Tahoma" w:hAnsi="Tahoma" w:cs="Tahoma"/>
      <w:sz w:val="20"/>
      <w:lang w:val="ru-RU" w:eastAsia="ru-RU" w:bidi="ar-SA"/>
    </w:rPr>
  </w:style>
  <w:style w:type="paragraph" w:styleId="6" w:customStyle="1">
    <w:name w:val="ConsPlusJurTerm"/>
    <w:pPr>
      <w:widowControl w:val="off"/>
    </w:pPr>
    <w:rPr>
      <w:rFonts w:ascii="Tahoma" w:hAnsi="Tahoma" w:cs="Tahoma"/>
      <w:sz w:val="26"/>
      <w:lang w:val="ru-RU" w:eastAsia="ru-RU" w:bidi="ar-SA"/>
    </w:rPr>
  </w:style>
  <w:style w:type="paragraph" w:styleId="7" w:customStyle="1">
    <w:name w:val="ConsPlusJurTerm"/>
    <w:pPr>
      <w:widowControl w:val="off"/>
    </w:pPr>
    <w:rPr>
      <w:rFonts w:ascii="Tahoma" w:hAnsi="Tahoma" w:cs="Tahoma"/>
      <w:sz w:val="26"/>
      <w:lang w:val="ru-RU" w:eastAsia="ru-RU" w:bidi="ar-SA"/>
    </w:rPr>
  </w:style>
  <w:style w:type="paragraph" w:styleId="8" w:customStyle="1">
    <w:name w:val="ConsPlusTextList"/>
    <w:pPr>
      <w:widowControl w:val="off"/>
    </w:pPr>
    <w:rPr>
      <w:rFonts w:ascii="Times New Roman" w:hAnsi="Times New Roman" w:cs="Times New Roman"/>
      <w:sz w:val="24"/>
      <w:lang w:val="ru-RU" w:eastAsia="ru-RU" w:bidi="ar-SA"/>
    </w:rPr>
  </w:style>
  <w:style w:type="paragraph" w:styleId="9" w:customStyle="1">
    <w:name w:val="ConsPlusTextList"/>
    <w:pPr>
      <w:widowControl w:val="off"/>
    </w:pPr>
    <w:rPr>
      <w:rFonts w:ascii="Times New Roman" w:hAnsi="Times New Roman" w:cs="Times New Roman"/>
      <w:sz w:val="24"/>
      <w:lang w:val="ru-RU" w:eastAsia="ru-RU" w:bidi="ar-SA"/>
    </w:rPr>
  </w:style>
  <w:style w:type="paragraph" w:styleId="0" w:default="1" w:customStyle="1">
    <w:name w:val="ConsPlusNormal"/>
    <w:pPr>
      <w:widowControl w:val="off"/>
    </w:pPr>
    <w:rPr>
      <w:rFonts w:ascii="Times New Roman" w:hAnsi="Times New Roman" w:cs="Times New Roman"/>
      <w:sz w:val="24"/>
      <w:lang w:val="ru-RU" w:eastAsia="ru-RU" w:bidi="ar-SA"/>
    </w:rPr>
  </w:style>
  <w:style w:type="paragraph" w:styleId="1" w:customStyle="1">
    <w:name w:val="ConsPlusNonformat"/>
    <w:pPr>
      <w:widowControl w:val="off"/>
    </w:pPr>
    <w:rPr>
      <w:rFonts w:ascii="Courier New" w:hAnsi="Courier New" w:cs="Courier New"/>
      <w:sz w:val="20"/>
      <w:lang w:val="ru-RU" w:eastAsia="ru-RU" w:bidi="ar-SA"/>
    </w:rPr>
  </w:style>
  <w:style w:type="paragraph" w:styleId="2" w:customStyle="1">
    <w:name w:val="ConsPlusTitle"/>
    <w:pPr>
      <w:widowControl w:val="off"/>
    </w:pPr>
    <w:rPr>
      <w:rFonts w:ascii="Arial" w:hAnsi="Arial" w:cs="Arial"/>
      <w:b/>
      <w:sz w:val="24"/>
      <w:lang w:val="ru-RU" w:eastAsia="ru-RU" w:bidi="ar-SA"/>
    </w:rPr>
  </w:style>
  <w:style w:type="paragraph" w:styleId="3" w:customStyle="1">
    <w:name w:val="ConsPlusCell"/>
    <w:pPr>
      <w:widowControl w:val="off"/>
    </w:pPr>
    <w:rPr>
      <w:rFonts w:ascii="Courier New" w:hAnsi="Courier New" w:cs="Courier New"/>
      <w:sz w:val="20"/>
      <w:lang w:val="ru-RU" w:eastAsia="ru-RU" w:bidi="ar-SA"/>
    </w:rPr>
  </w:style>
  <w:style w:type="paragraph" w:styleId="4" w:customStyle="1">
    <w:name w:val="ConsPlusDocList"/>
    <w:pPr>
      <w:widowControl w:val="off"/>
    </w:pPr>
    <w:rPr>
      <w:rFonts w:ascii="Tahoma" w:hAnsi="Tahoma" w:cs="Tahoma"/>
      <w:sz w:val="18"/>
      <w:lang w:val="ru-RU" w:eastAsia="ru-RU" w:bidi="ar-SA"/>
    </w:rPr>
  </w:style>
  <w:style w:type="paragraph" w:styleId="5" w:customStyle="1">
    <w:name w:val="ConsPlusTitlePage"/>
    <w:pPr>
      <w:widowControl w:val="off"/>
    </w:pPr>
    <w:rPr>
      <w:rFonts w:ascii="Tahoma" w:hAnsi="Tahoma" w:cs="Tahoma"/>
      <w:sz w:val="20"/>
      <w:lang w:val="ru-RU" w:eastAsia="ru-RU" w:bidi="ar-SA"/>
    </w:rPr>
  </w:style>
  <w:style w:type="paragraph" w:styleId="6" w:customStyle="1">
    <w:name w:val="ConsPlusJurTerm"/>
    <w:pPr>
      <w:widowControl w:val="off"/>
    </w:pPr>
    <w:rPr>
      <w:rFonts w:ascii="Tahoma" w:hAnsi="Tahoma" w:cs="Tahoma"/>
      <w:sz w:val="26"/>
      <w:lang w:val="ru-RU" w:eastAsia="ru-RU" w:bidi="ar-SA"/>
    </w:rPr>
  </w:style>
  <w:style w:type="paragraph" w:styleId="7" w:customStyle="1">
    <w:name w:val="ConsPlusJurTerm"/>
    <w:pPr>
      <w:widowControl w:val="off"/>
    </w:pPr>
    <w:rPr>
      <w:rFonts w:ascii="Tahoma" w:hAnsi="Tahoma" w:cs="Tahoma"/>
      <w:sz w:val="26"/>
      <w:lang w:val="ru-RU" w:eastAsia="ru-RU" w:bidi="ar-SA"/>
    </w:rPr>
  </w:style>
  <w:style w:type="paragraph" w:styleId="8" w:customStyle="1">
    <w:name w:val="ConsPlusTextList"/>
    <w:pPr>
      <w:widowControl w:val="off"/>
    </w:pPr>
    <w:rPr>
      <w:rFonts w:ascii="Times New Roman" w:hAnsi="Times New Roman" w:cs="Times New Roman"/>
      <w:sz w:val="24"/>
      <w:lang w:val="ru-RU" w:eastAsia="ru-RU" w:bidi="ar-SA"/>
    </w:rPr>
  </w:style>
  <w:style w:type="paragraph" w:styleId="9" w:customStyle="1">
    <w:name w:val="ConsPlusTextList"/>
    <w:pPr>
      <w:widowControl w:val="off"/>
    </w:pPr>
    <w:rPr>
      <w:rFonts w:ascii="Times New Roman" w:hAnsi="Times New Roman" w:cs="Times New Roman"/>
      <w:sz w:val="24"/>
      <w:lang w:val="ru-RU" w:eastAsia="ru-RU" w:bidi="ar-SA"/>
    </w:rPr>
  </w:style>
</w:styles>
</file>

<file path=word/webSettings.xml><?xml version="1.0" encoding="utf-8"?>
<w:webSettings xmlns:w="http://schemas.openxmlformats.org/wordprocessingml/2006/main">
  <w:optimizeForBrowser/>
</w:webSettings>
</file>

<file path=word/_rels/document.xml.rels><?xml version="1.0" encoding="UTF-8" standalone="yes"?><Relationships xmlns="http://schemas.openxmlformats.org/package/2006/relationships"><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theme" Target="theme/theme1.xml" /><Relationship Id="rId6" Type="http://schemas.openxmlformats.org/officeDocument/2006/relationships/header" Target="header1.xml" /><Relationship Id="rId7" Type="http://schemas.openxmlformats.org/officeDocument/2006/relationships/header" Target="header2.xml" /><Relationship Id="rId8" Type="http://schemas.openxmlformats.org/officeDocument/2006/relationships/footer" Target="footer1.xml" /><Relationship Id="rId9" Type="http://schemas.openxmlformats.org/officeDocument/2006/relationships/footer" Target="footer2.xml" /><Relationship Id="rId10" Type="http://schemas.openxmlformats.org/officeDocument/2006/relationships/image" Target="media/image1.png"/><Relationship Id="rId11" Type="http://schemas.openxmlformats.org/officeDocument/2006/relationships/hyperlink" Target="https://www.consultant.ru" TargetMode="External"/><Relationship Id="rId12" Type="http://schemas.openxmlformats.org/officeDocument/2006/relationships/hyperlink" Target="https://www.consultant.ru" TargetMode="External"/></Relationships>
</file>

<file path=word/_rels/footer1.xml.rels><?xml version="1.0" encoding="UTF-8" standalone="yes"?><Relationships xmlns="http://schemas.openxmlformats.org/package/2006/relationships"><Relationship Id="rId1" Type="http://schemas.openxmlformats.org/officeDocument/2006/relationships/hyperlink" Target="https://www.consultant.ru" TargetMode="External"/></Relationships>
</file>

<file path=word/_rels/footer2.xml.rels><?xml version="1.0" encoding="UTF-8" standalone="yes"?><Relationships xmlns="http://schemas.openxmlformats.org/package/2006/relationships"><Relationship Id="rId1" Type="http://schemas.openxmlformats.org/officeDocument/2006/relationships/hyperlink" Target="https://www.consultant.ru" TargetMode="External"/></Relationships>
</file>

<file path=word/_rels/header1.xml.rels><?xml version="1.0" encoding="UTF-8" standalone="yes"?><Relationships xmlns="http://schemas.openxmlformats.org/package/2006/relationships"><Relationship Id="rId1" Type="http://schemas.openxmlformats.org/officeDocument/2006/relationships/hyperlink" Target="https://www.consultant.ru" TargetMode="External"/></Relationships>
</file>

<file path=word/_rels/header2.xml.rels><?xml version="1.0" encoding="UTF-8" standalone="yes"?><Relationships xmlns="http://schemas.openxmlformats.org/package/2006/relationships"><Relationship Id="rId1" Type="http://schemas.openxmlformats.org/officeDocument/2006/relationships/hyperlink" Target="https://www.consultant.r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Р7-Офис/7.3.3.0</Application>
  <Company>КонсультантПлюс Версия 4025.00.50</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Постановление Администрации города Нижневартовска от 31.07.2025 N 694
(ред. от 17.06.2026)
"О предоставлении грантов в форме субсидий победителям конкурса проектов (программ) в сфере профилактики незаконного потребления наркотических средств, психотропных веществ, антинаркотической пропаганды"
(вместе с "Порядком предоставления грантов в форме субсидий победителям конкурса проектов (программ) в сфере профилактики незаконного потребления наркотических средств, психотропных веществ, антинаркотической пропаган</dc:title>
  <dcterms:created xsi:type="dcterms:W3CDTF">2026-08-17T07:26:10Z</dcterms:created>
</cp:coreProperties>
</file>