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8"/>
        <w:ind w:left="0" w:right="-1"/>
        <w:jc w:val="left"/>
        <w:tabs>
          <w:tab w:val="left" w:pos="3240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98"/>
        <w:ind w:left="0" w:right="-1"/>
        <w:jc w:val="center"/>
        <w:tabs>
          <w:tab w:val="left" w:pos="3240" w:leader="none"/>
        </w:tabs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 xml:space="preserve">Повестка совместного заседания</w:t>
      </w: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</w:p>
    <w:p>
      <w:pPr>
        <w:pStyle w:val="898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898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898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 xml:space="preserve">в городе Нижневартовске</w:t>
      </w:r>
      <w:r>
        <w:rPr>
          <w:b/>
          <w:bCs/>
          <w:color w:val="ff0000"/>
        </w:rPr>
      </w:r>
      <w:r>
        <w:rPr>
          <w:b/>
          <w:bCs/>
          <w:color w:val="ff0000"/>
        </w:rPr>
      </w:r>
    </w:p>
    <w:p>
      <w:pPr>
        <w:pStyle w:val="898"/>
        <w:ind w:left="0"/>
        <w:rPr>
          <w:b/>
          <w:bCs/>
          <w:color w:val="ff0000"/>
          <w:szCs w:val="28"/>
        </w:rPr>
      </w:pPr>
      <w:r>
        <w:rPr>
          <w:b/>
          <w:bCs/>
          <w:color w:val="ff0000"/>
          <w:szCs w:val="28"/>
        </w:rPr>
      </w:r>
      <w:r>
        <w:rPr>
          <w:b/>
          <w:bCs/>
          <w:color w:val="ff0000"/>
          <w:szCs w:val="28"/>
        </w:rPr>
      </w:r>
      <w:r>
        <w:rPr>
          <w:b/>
          <w:bCs/>
          <w:color w:val="ff0000"/>
          <w:szCs w:val="28"/>
        </w:rPr>
      </w:r>
    </w:p>
    <w:p>
      <w:pPr>
        <w:pStyle w:val="898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>
        <w:rPr>
          <w:szCs w:val="28"/>
        </w:rPr>
        <w:t xml:space="preserve">30 июня</w:t>
      </w:r>
      <w:r>
        <w:rPr>
          <w:szCs w:val="28"/>
        </w:rPr>
        <w:t xml:space="preserve"> 2026</w:t>
      </w:r>
      <w:r>
        <w:rPr>
          <w:szCs w:val="28"/>
        </w:rPr>
        <w:t xml:space="preserve"> года</w:t>
      </w:r>
      <w:r>
        <w:rPr>
          <w:szCs w:val="28"/>
        </w:rPr>
      </w:r>
      <w:r>
        <w:rPr>
          <w:szCs w:val="28"/>
        </w:rPr>
      </w:r>
    </w:p>
    <w:p>
      <w:pPr>
        <w:pStyle w:val="898"/>
        <w:ind w:left="0"/>
        <w:rPr>
          <w:szCs w:val="28"/>
        </w:rPr>
      </w:pPr>
      <w:r>
        <w:rPr>
          <w:szCs w:val="28"/>
        </w:rPr>
        <w:t xml:space="preserve">Место проведения: администрация города, ул. Таёжная, 24, каб. 312</w:t>
      </w:r>
      <w:r>
        <w:rPr>
          <w:szCs w:val="28"/>
        </w:rPr>
      </w:r>
      <w:r>
        <w:rPr>
          <w:szCs w:val="28"/>
        </w:rPr>
      </w:r>
    </w:p>
    <w:p>
      <w:pPr>
        <w:pStyle w:val="898"/>
        <w:ind w:left="0"/>
        <w:rPr>
          <w:b/>
          <w:szCs w:val="28"/>
        </w:rPr>
      </w:pPr>
      <w:r>
        <w:rPr>
          <w:szCs w:val="28"/>
        </w:rPr>
        <w:t xml:space="preserve">Время проведения: </w:t>
      </w:r>
      <w:r>
        <w:rPr>
          <w:szCs w:val="28"/>
        </w:rPr>
        <w:t xml:space="preserve">14</w:t>
      </w:r>
      <w:r>
        <w:rPr>
          <w:szCs w:val="28"/>
        </w:rPr>
        <w:t xml:space="preserve"> </w:t>
      </w:r>
      <w:r>
        <w:rPr>
          <w:szCs w:val="28"/>
        </w:rPr>
        <w:t xml:space="preserve">час. </w:t>
      </w:r>
      <w:r>
        <w:rPr>
          <w:szCs w:val="28"/>
        </w:rPr>
        <w:t xml:space="preserve">30</w:t>
      </w:r>
      <w:r>
        <w:rPr>
          <w:szCs w:val="28"/>
        </w:rPr>
        <w:t xml:space="preserve"> мин. 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both"/>
        <w:shd w:val="clear" w:color="auto" w:fill="ffffff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Повестка заседания: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>
        <w:rPr>
          <w:rFonts w:eastAsia="Calibri"/>
          <w:b/>
          <w:sz w:val="28"/>
          <w:szCs w:val="28"/>
        </w:rPr>
        <w:t xml:space="preserve">О текущей ситуации с задолженностью по выплате заработной платы в организациях города</w:t>
      </w:r>
      <w:r>
        <w:rPr>
          <w:rFonts w:eastAsia="Calibri"/>
          <w:b/>
          <w:bCs/>
          <w:sz w:val="28"/>
          <w:szCs w:val="28"/>
        </w:rPr>
        <w:t xml:space="preserve">.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Докладчики: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Мурашко Ирина Николаевна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–</w:t>
      </w:r>
      <w:r>
        <w:rPr>
          <w:rFonts w:eastAsia="Calibri"/>
          <w:sz w:val="28"/>
          <w:szCs w:val="28"/>
          <w:lang w:eastAsia="en-US"/>
        </w:rPr>
        <w:t xml:space="preserve">заместител</w:t>
      </w:r>
      <w:r>
        <w:rPr>
          <w:rFonts w:eastAsia="Calibri"/>
          <w:sz w:val="28"/>
          <w:szCs w:val="28"/>
          <w:lang w:eastAsia="en-US"/>
        </w:rPr>
        <w:t xml:space="preserve">ь</w:t>
      </w:r>
      <w:r>
        <w:rPr>
          <w:rFonts w:eastAsia="Calibri"/>
          <w:sz w:val="28"/>
          <w:szCs w:val="28"/>
          <w:lang w:eastAsia="en-US"/>
        </w:rPr>
        <w:t xml:space="preserve"> главы города по экономике и финансам</w:t>
      </w:r>
      <w:r>
        <w:rPr>
          <w:rFonts w:eastAsia="Calibri"/>
          <w:sz w:val="28"/>
          <w:szCs w:val="28"/>
          <w:lang w:eastAsia="en-US"/>
        </w:rPr>
        <w:t xml:space="preserve">, председатель рабочей группы</w:t>
      </w:r>
      <w:r>
        <w:rPr>
          <w:rFonts w:eastAsia="Calibri"/>
          <w:sz w:val="28"/>
          <w:szCs w:val="28"/>
          <w:lang w:eastAsia="en-US"/>
        </w:rPr>
        <w:t xml:space="preserve">;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  <w:highlight w:val="none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left="0" w:right="0" w:firstLine="568"/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2. О реализации мероприятий по погашению задолженности                             по заработной плате в </w:t>
      </w:r>
      <w:r>
        <w:rPr>
          <w:rFonts w:eastAsia="Calibri"/>
          <w:b/>
          <w:bCs/>
          <w:sz w:val="28"/>
          <w:szCs w:val="28"/>
        </w:rPr>
        <w:t xml:space="preserve">ЧУ ДПО </w:t>
      </w:r>
      <w:r>
        <w:rPr>
          <w:rFonts w:eastAsia="Calibri"/>
          <w:b/>
          <w:bCs/>
          <w:sz w:val="28"/>
          <w:szCs w:val="28"/>
        </w:rPr>
        <w:t xml:space="preserve">«</w:t>
      </w:r>
      <w:r>
        <w:rPr>
          <w:rFonts w:eastAsia="Calibri"/>
          <w:b/>
          <w:bCs/>
          <w:sz w:val="28"/>
          <w:szCs w:val="28"/>
        </w:rPr>
        <w:t xml:space="preserve">УЦ </w:t>
      </w:r>
      <w:r>
        <w:rPr>
          <w:rFonts w:eastAsia="Calibri"/>
          <w:b/>
          <w:bCs/>
          <w:sz w:val="28"/>
          <w:szCs w:val="28"/>
        </w:rPr>
        <w:t xml:space="preserve">«</w:t>
      </w:r>
      <w:r>
        <w:rPr>
          <w:rFonts w:eastAsia="Calibri"/>
          <w:b/>
          <w:bCs/>
          <w:sz w:val="28"/>
          <w:szCs w:val="28"/>
        </w:rPr>
        <w:t xml:space="preserve">Шанс</w:t>
      </w:r>
      <w:r>
        <w:rPr>
          <w:rFonts w:eastAsia="Calibri"/>
          <w:b/>
          <w:bCs/>
          <w:sz w:val="28"/>
          <w:szCs w:val="28"/>
        </w:rPr>
        <w:t xml:space="preserve">»</w:t>
      </w:r>
      <w:r>
        <w:rPr>
          <w:rFonts w:eastAsia="Calibri"/>
          <w:b/>
          <w:bCs/>
          <w:sz w:val="28"/>
          <w:szCs w:val="28"/>
        </w:rPr>
        <w:t xml:space="preserve">.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568"/>
        <w:jc w:val="both"/>
        <w:tabs>
          <w:tab w:val="left" w:pos="142" w:leader="none"/>
        </w:tabs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Докладчик: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568"/>
        <w:jc w:val="both"/>
        <w:tabs>
          <w:tab w:val="left" w:pos="1134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Гюльалиев Назим Бегалиевич</w:t>
      </w:r>
      <w:r>
        <w:rPr>
          <w:rFonts w:eastAsia="Calibri"/>
          <w:b/>
          <w:sz w:val="28"/>
          <w:szCs w:val="28"/>
          <w:lang w:eastAsia="en-US"/>
        </w:rPr>
        <w:t xml:space="preserve"> –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ликвидатор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ЧУ ДПО «УЦ «Шанс»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8"/>
        <w:jc w:val="both"/>
        <w:tabs>
          <w:tab w:val="left" w:pos="1134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left="0" w:right="0" w:firstLine="567"/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3. О занижении налоговой базы для расчета НДФЛ и страховых взносов организациями города Нижневартовска.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568"/>
        <w:jc w:val="both"/>
        <w:tabs>
          <w:tab w:val="left" w:pos="142" w:leader="none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568"/>
        <w:jc w:val="both"/>
        <w:tabs>
          <w:tab w:val="left" w:pos="142" w:leader="none"/>
        </w:tabs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Докладчики: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568"/>
        <w:jc w:val="both"/>
        <w:tabs>
          <w:tab w:val="left" w:pos="142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Елсукова Елена Евгеньевна</w:t>
      </w:r>
      <w:r>
        <w:rPr>
          <w:rFonts w:eastAsia="Calibri"/>
          <w:b/>
          <w:sz w:val="28"/>
          <w:szCs w:val="28"/>
          <w:lang w:eastAsia="en-US"/>
        </w:rPr>
        <w:t xml:space="preserve"> –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главный государственный налоговый инспектор отдела камерального контроля налога на доходы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Федеральной </w:t>
      </w:r>
      <w:r>
        <w:rPr>
          <w:rFonts w:ascii="Times New Roman" w:hAnsi="Times New Roman"/>
          <w:sz w:val="28"/>
          <w:szCs w:val="28"/>
        </w:rPr>
        <w:t xml:space="preserve">налоговой </w:t>
      </w:r>
      <w:r>
        <w:rPr>
          <w:rFonts w:ascii="Times New Roman" w:hAnsi="Times New Roman"/>
          <w:sz w:val="28"/>
          <w:szCs w:val="28"/>
        </w:rPr>
        <w:t xml:space="preserve">службы России по Ханты-Мансийскому автономному округу – Югре.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8"/>
        <w:jc w:val="both"/>
        <w:tabs>
          <w:tab w:val="left" w:pos="142" w:leader="none"/>
        </w:tabs>
        <w:rPr>
          <w:rFonts w:eastAsia="Calibri"/>
          <w:b/>
          <w:bCs/>
          <w:sz w:val="28"/>
          <w:szCs w:val="28"/>
          <w:highlight w:val="none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члены рабочей группы.</w:t>
      </w: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</w:p>
    <w:p>
      <w:pPr>
        <w:ind w:firstLine="0"/>
        <w:jc w:val="both"/>
        <w:tabs>
          <w:tab w:val="left" w:pos="142" w:leader="none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4. </w:t>
      </w:r>
      <w:r>
        <w:rPr>
          <w:rFonts w:eastAsia="Calibri"/>
          <w:b/>
          <w:bCs/>
          <w:sz w:val="28"/>
          <w:szCs w:val="28"/>
          <w:lang w:eastAsia="en-US"/>
        </w:rPr>
        <w:t xml:space="preserve">О неформальной занятости при </w:t>
      </w:r>
      <w:r>
        <w:rPr>
          <w:rFonts w:eastAsia="Calibri"/>
          <w:b/>
          <w:bCs/>
          <w:sz w:val="28"/>
          <w:szCs w:val="28"/>
        </w:rPr>
        <w:t xml:space="preserve">осуществлении деятельности индивидуальными предпринимателями, сотрудничающими                                    с маркетплейсами.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Докладчики: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Брыль Наталья Петровна – </w:t>
      </w:r>
      <w:r>
        <w:rPr>
          <w:rFonts w:eastAsia="Calibri"/>
          <w:sz w:val="28"/>
          <w:szCs w:val="28"/>
          <w:lang w:eastAsia="en-US"/>
        </w:rPr>
        <w:t xml:space="preserve">директор</w:t>
      </w:r>
      <w:r>
        <w:rPr>
          <w:rFonts w:eastAsia="Calibri"/>
          <w:sz w:val="28"/>
          <w:szCs w:val="28"/>
          <w:lang w:eastAsia="en-US"/>
        </w:rPr>
        <w:t xml:space="preserve"> департамента экономического развития администрации города, заместитель председателя рабочей группы;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567"/>
        <w:jc w:val="both"/>
        <w:rPr>
          <w:rFonts w:eastAsia="Calibri"/>
          <w:b/>
          <w:bCs/>
          <w:sz w:val="28"/>
          <w:szCs w:val="28"/>
          <w:highlight w:val="none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  <w:r>
        <w:rPr>
          <w:rFonts w:eastAsia="Calibri"/>
          <w:b/>
          <w:bCs/>
          <w:sz w:val="28"/>
          <w:szCs w:val="28"/>
          <w:highlight w:val="none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567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                                          и руководители следующих организаций: 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ind w:firstLine="705"/>
        <w:jc w:val="both"/>
        <w:tabs>
          <w:tab w:val="left" w:pos="142" w:leader="none"/>
        </w:tabs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tbl>
      <w:tblPr>
        <w:tblW w:w="9639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Наименование организации / ФИО ИП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ИНН</w:t>
            </w:r>
            <w:r/>
          </w:p>
        </w:tc>
      </w:tr>
      <w:tr>
        <w:tblPrEx/>
        <w:trPr>
          <w:trHeight w:val="25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второму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вопросу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1.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ЧУ ДПО «УЦ «Шанс»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8603175012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25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третьему вопросу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  <w:lang w:eastAsia="en-US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  <w:t xml:space="preserve">ООО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white"/>
              </w:rPr>
              <w:t xml:space="preserve">АРТЕМИДА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  <w:t xml:space="preserve">8603199091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  <w:lang w:eastAsia="en-US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  <w:t xml:space="preserve">ООО «ГОРОДСКОЙ ЛОМБАРД»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  <w:t xml:space="preserve">8603168826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  <w:lang w:eastAsia="en-US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sz w:val="28"/>
                <w:szCs w:val="28"/>
              </w:rPr>
              <w:t xml:space="preserve">ТСН «ТСЖ НАДЕЖДА»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  <w:t xml:space="preserve">8603250277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25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четветому вопросу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5.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vMerge w:val="restart"/>
            <w:textDirection w:val="lrTb"/>
            <w:noWrap w:val="false"/>
          </w:tcPr>
          <w:p>
            <w:pPr>
              <w:tabs>
                <w:tab w:val="left" w:pos="1065" w:leader="none"/>
              </w:tabs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ascii="Times New Roman" w:hAnsi="Times New Roman" w:eastAsia="Calibri"/>
                <w:b w:val="0"/>
                <w:bCs w:val="0"/>
                <w:sz w:val="28"/>
                <w:szCs w:val="28"/>
              </w:rPr>
              <w:t xml:space="preserve">Эскина Галина Юзиковна</w:t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 xml:space="preserve">860318452640</w:t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6.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vMerge w:val="restart"/>
            <w:textDirection w:val="lrTb"/>
            <w:noWrap w:val="false"/>
          </w:tcPr>
          <w:p>
            <w:pPr>
              <w:tabs>
                <w:tab w:val="left" w:pos="1065" w:leader="none"/>
              </w:tabs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ascii="Times New Roman" w:hAnsi="Times New Roman" w:eastAsia="Calibri"/>
                <w:b w:val="0"/>
                <w:bCs w:val="0"/>
                <w:color w:val="000000" w:themeColor="text1"/>
                <w:sz w:val="28"/>
                <w:szCs w:val="28"/>
              </w:rPr>
              <w:t xml:space="preserve">Буржумов Руслан Муфрудинович</w:t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 xml:space="preserve">052347950300</w:t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7.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0" w:type="dxa"/>
            <w:vMerge w:val="restart"/>
            <w:textDirection w:val="lrTb"/>
            <w:noWrap w:val="false"/>
          </w:tcPr>
          <w:p>
            <w:pPr>
              <w:tabs>
                <w:tab w:val="left" w:pos="1065" w:leader="none"/>
              </w:tabs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ascii="Times New Roman" w:hAnsi="Times New Roman" w:eastAsia="Calibri"/>
                <w:b w:val="0"/>
                <w:bCs w:val="0"/>
                <w:color w:val="000000" w:themeColor="text1"/>
                <w:sz w:val="28"/>
                <w:szCs w:val="28"/>
              </w:rPr>
              <w:t xml:space="preserve">Чебану Анастасия Сергеевна</w:t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860328182880</w:t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eastAsia="Calibri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898"/>
        <w:ind w:left="0" w:right="-1"/>
        <w:jc w:val="center"/>
        <w:tabs>
          <w:tab w:val="left" w:pos="3240" w:leader="none"/>
        </w:tabs>
        <w:rPr>
          <w:b/>
          <w:bCs/>
          <w:highlight w:val="none"/>
        </w:rPr>
      </w:pPr>
      <w:r>
        <w:rPr>
          <w:b/>
          <w:bCs/>
          <w:szCs w:val="28"/>
        </w:rPr>
        <w:t xml:space="preserve">Материалы к совместному заседанию</w:t>
      </w:r>
      <w:r>
        <w:rPr>
          <w:rFonts w:eastAsia="Calibri"/>
          <w:b/>
          <w:szCs w:val="28"/>
          <w:lang w:eastAsia="en-US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b/>
          <w:bCs/>
          <w:szCs w:val="28"/>
          <w:highlight w:val="none"/>
        </w:rPr>
      </w:r>
      <w:r>
        <w:rPr>
          <w:b/>
          <w:bCs/>
          <w:szCs w:val="28"/>
          <w:highlight w:val="none"/>
        </w:rPr>
      </w:r>
      <w:r>
        <w:rPr>
          <w:b/>
          <w:bCs/>
          <w:highlight w:val="none"/>
        </w:rPr>
      </w:r>
    </w:p>
    <w:p>
      <w:pPr>
        <w:pStyle w:val="898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898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898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 xml:space="preserve">в городе Нижневартовске</w:t>
      </w:r>
      <w:r>
        <w:rPr>
          <w:b/>
          <w:bCs/>
          <w:color w:val="ff0000"/>
        </w:rPr>
      </w:r>
      <w:r>
        <w:rPr>
          <w:b/>
          <w:bCs/>
          <w:color w:val="ff0000"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left="0" w:right="0" w:firstLine="568"/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  <w:highlight w:val="none"/>
        </w:rPr>
      </w:pPr>
      <w:r>
        <w:rPr>
          <w:rFonts w:eastAsia="Calibri"/>
          <w:b/>
          <w:bCs/>
          <w:sz w:val="28"/>
          <w:szCs w:val="28"/>
        </w:rPr>
        <w:t xml:space="preserve">2. О реализации мероприятий по погашению задолженности                             по заработной плате в </w:t>
      </w:r>
      <w:r>
        <w:rPr>
          <w:rFonts w:eastAsia="Calibri"/>
          <w:b/>
          <w:bCs/>
          <w:sz w:val="28"/>
          <w:szCs w:val="28"/>
        </w:rPr>
        <w:t xml:space="preserve">ЧУ ДПО </w:t>
      </w:r>
      <w:r>
        <w:rPr>
          <w:rFonts w:eastAsia="Calibri"/>
          <w:b/>
          <w:bCs/>
          <w:sz w:val="28"/>
          <w:szCs w:val="28"/>
        </w:rPr>
        <w:t xml:space="preserve">«</w:t>
      </w:r>
      <w:r>
        <w:rPr>
          <w:rFonts w:eastAsia="Calibri"/>
          <w:b/>
          <w:bCs/>
          <w:sz w:val="28"/>
          <w:szCs w:val="28"/>
        </w:rPr>
        <w:t xml:space="preserve">УЦ </w:t>
      </w:r>
      <w:r>
        <w:rPr>
          <w:rFonts w:eastAsia="Calibri"/>
          <w:b/>
          <w:bCs/>
          <w:sz w:val="28"/>
          <w:szCs w:val="28"/>
        </w:rPr>
        <w:t xml:space="preserve">«</w:t>
      </w:r>
      <w:r>
        <w:rPr>
          <w:rFonts w:eastAsia="Calibri"/>
          <w:b/>
          <w:bCs/>
          <w:sz w:val="28"/>
          <w:szCs w:val="28"/>
        </w:rPr>
        <w:t xml:space="preserve">Шанс</w:t>
      </w:r>
      <w:r>
        <w:rPr>
          <w:rFonts w:eastAsia="Calibri"/>
          <w:b/>
          <w:bCs/>
          <w:sz w:val="28"/>
          <w:szCs w:val="28"/>
        </w:rPr>
        <w:t xml:space="preserve">»</w:t>
      </w:r>
      <w:r>
        <w:rPr>
          <w:rFonts w:eastAsia="Calibri"/>
          <w:b/>
          <w:bCs/>
          <w:sz w:val="28"/>
          <w:szCs w:val="28"/>
        </w:rPr>
        <w:t xml:space="preserve">.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left="0" w:right="0" w:firstLine="568"/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СПРАВОЧНАЯ ИНФОРМАЦИЯ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ЧУ ДПО «УЦ «Шанс» ИНН 8603175012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Дата образования: </w:t>
      </w:r>
      <w:r>
        <w:rPr>
          <w:bCs/>
          <w:color w:val="000000"/>
          <w:sz w:val="28"/>
          <w:szCs w:val="28"/>
        </w:rPr>
        <w:t xml:space="preserve">18 августа 2010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​</w:t>
      </w:r>
      <w:r>
        <w:rPr>
          <w:b/>
          <w:color w:val="000000"/>
          <w:sz w:val="28"/>
          <w:szCs w:val="28"/>
        </w:rPr>
        <w:t xml:space="preserve">Адрес: </w:t>
      </w:r>
      <w:r>
        <w:rPr>
          <w:color w:val="000000"/>
          <w:sz w:val="28"/>
          <w:szCs w:val="28"/>
        </w:rPr>
        <w:t xml:space="preserve">628624, Ханты-Мансийский Автономный округ - Югра </w:t>
      </w:r>
      <w:r>
        <w:rPr>
          <w:color w:val="000000"/>
          <w:sz w:val="28"/>
          <w:szCs w:val="28"/>
        </w:rPr>
        <w:t xml:space="preserve">а.окр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г.о</w:t>
      </w:r>
      <w:r>
        <w:rPr>
          <w:color w:val="000000"/>
          <w:sz w:val="28"/>
          <w:szCs w:val="28"/>
        </w:rPr>
        <w:t xml:space="preserve">. Нижневартовск, г Нижневартовск, ул. Профсоюзная, д. 3,​ кв. 17.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Ликвидатор: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Гюльалиев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Назим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Бегалиевич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Основной вид деятельности:</w:t>
      </w:r>
      <w:r>
        <w:rPr>
          <w:color w:val="000000"/>
          <w:sz w:val="28"/>
          <w:szCs w:val="28"/>
        </w:rPr>
        <w:t xml:space="preserve"> Деятельность по дополнительному профессиональному образованию прочая, не включенная в другие группировки - 85.42.9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Учредители и участники: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Абдалов</w:t>
      </w:r>
      <w:r>
        <w:rPr>
          <w:color w:val="000000"/>
          <w:sz w:val="28"/>
          <w:szCs w:val="28"/>
        </w:rPr>
        <w:t xml:space="preserve"> Сергей Геннадьевич, Петросова Снежана Валерьевна, размер долей скрыт.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На 30 июня</w:t>
      </w:r>
      <w:r>
        <w:rPr>
          <w:color w:val="111111"/>
          <w:sz w:val="28"/>
          <w:szCs w:val="28"/>
        </w:rPr>
        <w:t xml:space="preserve"> найдены решения ФНС о частичном или полном приостановлении операций по некоторым счетам. </w:t>
      </w:r>
      <w:r>
        <w:rPr>
          <w:color w:val="111111"/>
          <w:sz w:val="28"/>
          <w:szCs w:val="28"/>
        </w:rPr>
      </w:r>
      <w:r>
        <w:rPr>
          <w:color w:val="11111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111111"/>
          <w:sz w:val="28"/>
          <w:szCs w:val="28"/>
          <w:highlight w:val="none"/>
        </w:rPr>
      </w:pPr>
      <w:r>
        <w:rPr>
          <w:color w:val="111111"/>
          <w:sz w:val="28"/>
          <w:szCs w:val="28"/>
        </w:rPr>
        <w:t xml:space="preserve">Арбитражных дел не найдено.</w:t>
      </w:r>
      <w:r>
        <w:rPr>
          <w:color w:val="111111"/>
          <w:sz w:val="28"/>
          <w:szCs w:val="28"/>
        </w:rPr>
      </w:r>
      <w:r>
        <w:rPr>
          <w:color w:val="11111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  <w:r>
        <w:rPr>
          <w:color w:val="111111"/>
          <w:sz w:val="28"/>
          <w:szCs w:val="28"/>
        </w:rPr>
      </w:r>
    </w:p>
    <w:p>
      <w:pPr>
        <w:ind w:left="0" w:right="0" w:firstLine="567"/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3. О занижении налоговой базы для расчета НДФЛ и страховых взносов организациями города Нижневартовска.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  <w:r>
        <w:rPr>
          <w:color w:val="111111"/>
          <w:sz w:val="28"/>
          <w:szCs w:val="28"/>
        </w:rPr>
      </w:r>
    </w:p>
    <w:p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3.1. ООО «АРТЕМИДА» ИНН </w:t>
      </w:r>
      <w:r>
        <w:rPr>
          <w:b/>
          <w:sz w:val="28"/>
          <w:szCs w:val="28"/>
          <w:u w:val="single"/>
        </w:rPr>
        <w:t xml:space="preserve">8603199091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Присутствует:</w:t>
      </w:r>
      <w:r>
        <w:rPr>
          <w:bCs/>
          <w:sz w:val="28"/>
          <w:szCs w:val="28"/>
        </w:rPr>
        <w:t xml:space="preserve"> директор </w:t>
      </w:r>
      <w:r>
        <w:rPr>
          <w:bCs/>
          <w:sz w:val="28"/>
          <w:szCs w:val="28"/>
        </w:rPr>
        <w:t xml:space="preserve">Исмаилова</w:t>
      </w:r>
      <w:r>
        <w:rPr>
          <w:bCs/>
          <w:sz w:val="28"/>
          <w:szCs w:val="28"/>
        </w:rPr>
        <w:t xml:space="preserve"> Елена </w:t>
      </w:r>
      <w:r>
        <w:rPr>
          <w:bCs/>
          <w:sz w:val="28"/>
          <w:szCs w:val="28"/>
        </w:rPr>
        <w:t xml:space="preserve">Зуфаровна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информации ФНС: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ОКВЭД – </w:t>
      </w:r>
      <w:r>
        <w:rPr>
          <w:bCs/>
          <w:sz w:val="28"/>
          <w:szCs w:val="28"/>
        </w:rPr>
        <w:t xml:space="preserve">77.32 Аренда и лизинг строительных машин и оборудования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ООО "АРТЕМИДА"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применяет упрощенную систему налогообложения (доходы).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регистрации: 628602, ХАНТЫ-МАНСИЙСКИЙ АВТОНОМНЫЙ ОКРУГ - ЮГРА, Г. НИЖНЕВАРТОВСК, УЛ. ДРУЖБЫ НАРОДОВ, Д. 7, КВ. 143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Исмаилова</w:t>
      </w:r>
      <w:r>
        <w:rPr>
          <w:sz w:val="28"/>
          <w:szCs w:val="28"/>
        </w:rPr>
        <w:t xml:space="preserve"> Елена </w:t>
      </w:r>
      <w:r>
        <w:rPr>
          <w:sz w:val="28"/>
          <w:szCs w:val="28"/>
        </w:rPr>
        <w:t xml:space="preserve">Зуфаровна</w:t>
      </w:r>
      <w:r>
        <w:rPr>
          <w:sz w:val="28"/>
          <w:szCs w:val="28"/>
        </w:rPr>
        <w:t xml:space="preserve"> ИНН 860311838211, дата рождения: 28.07.1982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Учредитель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Исмаилова</w:t>
      </w:r>
      <w:r>
        <w:rPr>
          <w:sz w:val="28"/>
          <w:szCs w:val="28"/>
        </w:rPr>
        <w:t xml:space="preserve"> Елена </w:t>
      </w:r>
      <w:r>
        <w:rPr>
          <w:sz w:val="28"/>
          <w:szCs w:val="28"/>
        </w:rPr>
        <w:t xml:space="preserve">Зуфаровна</w:t>
      </w:r>
      <w:r>
        <w:rPr>
          <w:sz w:val="28"/>
          <w:szCs w:val="28"/>
        </w:rPr>
        <w:t xml:space="preserve"> ИНН 860311838211 - 100.00% (10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000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00 руб.)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регистраци</w:t>
      </w:r>
      <w:r>
        <w:rPr>
          <w:sz w:val="28"/>
          <w:szCs w:val="28"/>
        </w:rPr>
        <w:t xml:space="preserve">и руководителя: 628602, Ханты-</w:t>
      </w:r>
      <w:r>
        <w:rPr>
          <w:sz w:val="28"/>
          <w:szCs w:val="28"/>
        </w:rPr>
        <w:t xml:space="preserve">Мансийский автономный округ - Югра, г. Нижневартовск, ул. Дружбы народов, д. 7, кв. 143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Доходы руководителя: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33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355"/>
        <w:gridCol w:w="1687"/>
        <w:gridCol w:w="2131"/>
        <w:gridCol w:w="1316"/>
        <w:gridCol w:w="2847"/>
      </w:tblGrid>
      <w:tr>
        <w:tblPrEx/>
        <w:trPr>
          <w:trHeight w:val="318"/>
          <w:tblHeader/>
        </w:trPr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Отчетный год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Общая сумма дохода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Сумма налога исчисленная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ИНН НА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284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Наименование НА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</w:tr>
      <w:tr>
        <w:tblPrEx/>
        <w:trPr>
          <w:trHeight w:val="89"/>
          <w:tblHeader/>
        </w:trPr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2025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74 399,22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9 672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8603174918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  <w:tc>
          <w:tcPr>
            <w:shd w:val="clear" w:color="ffffff" w:fill="ffffff"/>
            <w:tcW w:w="2847" w:type="dxa"/>
            <w:vAlign w:val="bottom"/>
            <w:textDirection w:val="lrTb"/>
            <w:noWrap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ООО "Югра Инжиниринг"  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</w:tc>
      </w:tr>
    </w:tbl>
    <w:p>
      <w:pPr>
        <w:ind w:left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расходной части установлены операции перечисления за счет физического лица заработной платы – 4 429 646,06 руб.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Согласно, предоставленного расчета по страховым взносам за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12 месяцев 2025 года выплат и иные вознаграждения отражены в сумме 1 176 145,33 руб.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Расхождение составляет 3 253 500,73 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сотрудников, согласно предоставленного расчета по страховым взносам за 12 месяцев 2025 года составляет 4 человек.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Представленная налоговая отчетность по итогам 12 месяцев 2025 года: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tbl>
      <w:tblPr>
        <w:tblW w:w="9252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81"/>
        <w:gridCol w:w="4728"/>
        <w:gridCol w:w="1276"/>
        <w:gridCol w:w="1279"/>
        <w:gridCol w:w="988"/>
      </w:tblGrid>
      <w:tr>
        <w:tblPrEx/>
        <w:trPr>
          <w:trHeight w:val="510"/>
        </w:trPr>
        <w:tc>
          <w:tcPr>
            <w:shd w:val="clear" w:color="000000" w:fill="eceff1"/>
            <w:tcW w:w="9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П-Сумма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W w:w="473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W w:w="12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документа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W w:w="128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Отчетный период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W w:w="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Отчетный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164727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налогу, уплачиваемому в связи с применением упрощенной системы налогообложения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-301557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налогу, уплачиваемому в связи с применением упрощенной системы налогообложения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1550138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налогу, уплачиваемому в связи с применением упрощенной системы налогообложения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121804.80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34159.64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5799.71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15864.49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82611.59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11912.86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11912.86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499514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346298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48742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7376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114309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979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89656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4731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77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1280" w:type="dxa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985" w:type="dxa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ind w:left="720"/>
      </w:pPr>
      <w:r/>
      <w:r/>
      <w:r/>
    </w:p>
    <w:p>
      <w:pPr>
        <w:ind w:left="720"/>
        <w:rPr>
          <w:sz w:val="28"/>
        </w:rPr>
      </w:pPr>
      <w:r>
        <w:rPr>
          <w:sz w:val="28"/>
        </w:rPr>
        <w:t xml:space="preserve">Риски</w:t>
      </w:r>
      <w:r>
        <w:rPr>
          <w:sz w:val="28"/>
        </w:rPr>
      </w:r>
      <w:r>
        <w:rPr>
          <w:sz w:val="28"/>
        </w:rPr>
      </w:r>
    </w:p>
    <w:tbl>
      <w:tblPr>
        <w:tblW w:w="4950" w:type="pct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967"/>
        <w:gridCol w:w="1236"/>
        <w:gridCol w:w="1236"/>
        <w:gridCol w:w="1236"/>
        <w:gridCol w:w="1345"/>
        <w:gridCol w:w="1232"/>
      </w:tblGrid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Показатели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квартал 2026г.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Группа риска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Отсутствует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Отсутствует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Отсутствует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Минимальный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Низкий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Налоговый риск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4 863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21 597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Доля риска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47%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Категория НП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Микро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Микро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Микро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Микро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Микро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ОКВЭД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Сумма выплат (всего)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133 538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310 972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647 393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1 176 145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81 279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Сумма выплат (з/п)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140 242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81 279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Численность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Численность к обработке 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Численность с риском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Средняя з/п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46 747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27 093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Средняя з/п по отрасли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53 750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55 031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56 635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57 554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59 817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Налоговый риск по МРОТ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0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Налоговый риск по СОЗ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8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72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4 863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66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21 598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</w:tbl>
    <w:p>
      <w:pPr>
        <w:ind w:left="720"/>
        <w:rPr>
          <w:b/>
          <w:color w:val="ff0000"/>
          <w:u w:val="single"/>
        </w:rPr>
      </w:pPr>
      <w:r>
        <w:rPr>
          <w:b/>
          <w:color w:val="ff0000"/>
          <w:u w:val="single"/>
        </w:rPr>
      </w:r>
      <w:r>
        <w:rPr>
          <w:b/>
          <w:color w:val="ff0000"/>
          <w:u w:val="single"/>
        </w:rPr>
      </w:r>
      <w:r>
        <w:rPr>
          <w:b/>
          <w:color w:val="ff0000"/>
          <w:u w:val="single"/>
        </w:rPr>
      </w:r>
    </w:p>
    <w:p>
      <w:pPr>
        <w:ind w:firstLine="426"/>
        <w:jc w:val="both"/>
        <w:rPr>
          <w:b/>
          <w:sz w:val="28"/>
          <w:u w:val="single"/>
        </w:rPr>
      </w:pPr>
      <w:r>
        <w:rPr>
          <w:sz w:val="28"/>
        </w:rPr>
        <w:tab/>
      </w:r>
      <w:r>
        <w:rPr>
          <w:b/>
          <w:sz w:val="28"/>
          <w:u w:val="single"/>
        </w:rPr>
        <w:t xml:space="preserve">Заключение по результатам анализа финансово-хозяйственной деятельности налогоплательщика:</w:t>
      </w:r>
      <w:r>
        <w:rPr>
          <w:b/>
          <w:sz w:val="28"/>
          <w:u w:val="single"/>
        </w:rPr>
      </w:r>
      <w:r>
        <w:rPr>
          <w:b/>
          <w:sz w:val="28"/>
          <w:u w:val="single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Согласно, предоставленного расчета по страховым взносам за 12 месяцев 2025 года выплат и иные вознаграждения отражены в сумме 1</w:t>
      </w:r>
      <w:r>
        <w:rPr>
          <w:sz w:val="28"/>
        </w:rPr>
        <w:t xml:space="preserve"> </w:t>
      </w:r>
      <w:r>
        <w:rPr>
          <w:sz w:val="28"/>
        </w:rPr>
        <w:t xml:space="preserve">176</w:t>
      </w:r>
      <w:r>
        <w:rPr>
          <w:sz w:val="28"/>
        </w:rPr>
        <w:t xml:space="preserve"> </w:t>
      </w:r>
      <w:r>
        <w:rPr>
          <w:sz w:val="28"/>
        </w:rPr>
        <w:t xml:space="preserve">145,33 руб. 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Расхождение составляет 3</w:t>
      </w:r>
      <w:r>
        <w:rPr>
          <w:sz w:val="28"/>
        </w:rPr>
        <w:t xml:space="preserve"> </w:t>
      </w:r>
      <w:r>
        <w:rPr>
          <w:sz w:val="28"/>
        </w:rPr>
        <w:t xml:space="preserve">253</w:t>
      </w:r>
      <w:r>
        <w:rPr>
          <w:sz w:val="28"/>
        </w:rPr>
        <w:t xml:space="preserve"> </w:t>
      </w:r>
      <w:r>
        <w:rPr>
          <w:sz w:val="28"/>
        </w:rPr>
        <w:t xml:space="preserve">500,73 руб.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СФР: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Согласно отчета за 2025 год среднесписочная численность сотрудников составляет </w:t>
      </w:r>
      <w:r>
        <w:rPr>
          <w:color w:val="000000" w:themeColor="text1"/>
          <w:sz w:val="28"/>
          <w:szCs w:val="28"/>
        </w:rPr>
        <w:t xml:space="preserve">6</w:t>
      </w:r>
      <w:r>
        <w:rPr>
          <w:color w:val="000000" w:themeColor="text1"/>
          <w:sz w:val="28"/>
          <w:szCs w:val="28"/>
        </w:rPr>
        <w:t xml:space="preserve"> человек, з</w:t>
      </w:r>
      <w:r>
        <w:rPr>
          <w:color w:val="000000" w:themeColor="text1"/>
          <w:sz w:val="28"/>
          <w:szCs w:val="28"/>
        </w:rPr>
        <w:t xml:space="preserve">адолженность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о страховым взносам</w:t>
      </w:r>
      <w:r>
        <w:rPr>
          <w:color w:val="000000" w:themeColor="text1"/>
          <w:sz w:val="28"/>
          <w:szCs w:val="28"/>
        </w:rPr>
        <w:t xml:space="preserve"> – 3,5 тыс. руб., по штрафам – 1 тыс. руб.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ЦЗН: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Общество не зарегистрировано на портале "Работа России", в банке данных </w:t>
      </w:r>
      <w:r>
        <w:rPr>
          <w:rFonts w:eastAsia="Calibri"/>
          <w:sz w:val="28"/>
          <w:szCs w:val="28"/>
        </w:rPr>
        <w:t xml:space="preserve">ТЦЗН. </w:t>
      </w:r>
      <w:r>
        <w:rPr>
          <w:sz w:val="28"/>
          <w:szCs w:val="28"/>
        </w:rPr>
        <w:t xml:space="preserve">Сведения о наличии свободных рабочих мест и вакантных должностей данной организацией на единой цифровой платформе "Работа  России" не размещались, в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с чем не представляется возможным установить информацию о размере заработной платы у данной организации. По последним </w:t>
      </w:r>
      <w:r>
        <w:rPr>
          <w:sz w:val="28"/>
          <w:szCs w:val="28"/>
          <w:shd w:val="clear" w:color="auto" w:fill="ffffff"/>
        </w:rPr>
        <w:t xml:space="preserve">данным ФНС за 2025 год </w:t>
      </w:r>
      <w:r>
        <w:rPr>
          <w:bCs/>
          <w:sz w:val="28"/>
          <w:szCs w:val="28"/>
          <w:shd w:val="clear" w:color="auto" w:fill="ffffff"/>
        </w:rPr>
        <w:t xml:space="preserve">среднесписочная численность работников – </w:t>
      </w:r>
      <w:r>
        <w:rPr>
          <w:bCs/>
          <w:sz w:val="28"/>
          <w:szCs w:val="28"/>
          <w:shd w:val="clear" w:color="auto" w:fill="ffffff"/>
        </w:rPr>
        <w:t xml:space="preserve">4</w:t>
      </w:r>
      <w:r>
        <w:rPr>
          <w:bCs/>
          <w:sz w:val="28"/>
          <w:szCs w:val="28"/>
          <w:shd w:val="clear" w:color="auto" w:fill="ffffff"/>
        </w:rPr>
        <w:t xml:space="preserve"> человека. </w:t>
      </w:r>
      <w:r>
        <w:rPr>
          <w:sz w:val="28"/>
          <w:szCs w:val="28"/>
        </w:rPr>
        <w:t xml:space="preserve">Сведения о высвобождении не поступали. Отчет по квотированию не предоставляют.</w:t>
      </w:r>
      <w:r>
        <w:rPr>
          <w:sz w:val="28"/>
        </w:rPr>
      </w:r>
      <w:r>
        <w:rPr>
          <w:sz w:val="28"/>
        </w:rPr>
      </w:r>
    </w:p>
    <w:p>
      <w:pPr>
        <w:jc w:val="left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left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3.2. ООО "ГОРОДСКОЙ ЛОМБАРД" ИНН 8603168826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Присутствует: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главный бухгалтер </w:t>
      </w:r>
      <w:r>
        <w:rPr>
          <w:bCs/>
          <w:sz w:val="28"/>
          <w:szCs w:val="28"/>
        </w:rPr>
        <w:t xml:space="preserve">Уланова </w:t>
      </w:r>
      <w:r>
        <w:rPr>
          <w:bCs/>
          <w:sz w:val="28"/>
          <w:szCs w:val="28"/>
        </w:rPr>
        <w:t xml:space="preserve">Татьяна Вячеславовна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информации ФНС: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720"/>
      </w:pPr>
      <w:r/>
      <w:r/>
      <w:r/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Дата регистрации 17.12.2009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bCs/>
          <w:sz w:val="28"/>
        </w:rPr>
      </w:pPr>
      <w:r>
        <w:rPr>
          <w:sz w:val="28"/>
        </w:rPr>
        <w:t xml:space="preserve">ОКВЭД – </w:t>
      </w:r>
      <w:r>
        <w:rPr>
          <w:bCs/>
          <w:sz w:val="28"/>
        </w:rPr>
        <w:t xml:space="preserve">64.92.6 Деятельность по предоставлению ломбардами краткосрочных займов под залог движимого имущества</w:t>
      </w:r>
      <w:r>
        <w:rPr>
          <w:bCs/>
          <w:sz w:val="28"/>
        </w:rPr>
      </w:r>
      <w:r>
        <w:rPr>
          <w:bCs/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ООО «Городской ломбард</w:t>
      </w:r>
      <w:r>
        <w:rPr>
          <w:b/>
          <w:sz w:val="28"/>
        </w:rPr>
        <w:t xml:space="preserve">»</w:t>
      </w:r>
      <w:r>
        <w:rPr>
          <w:sz w:val="28"/>
        </w:rPr>
        <w:t xml:space="preserve"> применяет общую систему налогообложения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Адрес регистрации: </w:t>
      </w:r>
      <w:r>
        <w:rPr>
          <w:color w:val="222222"/>
          <w:sz w:val="28"/>
          <w:shd w:val="clear" w:color="auto" w:fill="ffffff"/>
        </w:rPr>
        <w:t xml:space="preserve">628615, Ханты - Мансийский автономный округ - Югра, г. Нижневартовск, ул. Спортивная, </w:t>
      </w:r>
      <w:r>
        <w:rPr>
          <w:color w:val="222222"/>
          <w:sz w:val="28"/>
          <w:shd w:val="clear" w:color="auto" w:fill="ffffff"/>
        </w:rPr>
        <w:t xml:space="preserve">зд</w:t>
      </w:r>
      <w:r>
        <w:rPr>
          <w:color w:val="222222"/>
          <w:sz w:val="28"/>
          <w:shd w:val="clear" w:color="auto" w:fill="ffffff"/>
        </w:rPr>
        <w:t xml:space="preserve">. 13в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Собственность: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  <w:lang w:val="en-US"/>
        </w:rPr>
      </w:pPr>
      <w:r>
        <w:rPr>
          <w:sz w:val="28"/>
        </w:rPr>
        <w:t xml:space="preserve">Транспорт</w:t>
      </w:r>
      <w:r>
        <w:rPr>
          <w:sz w:val="28"/>
          <w:lang w:val="en-US"/>
        </w:rPr>
        <w:t xml:space="preserve">:</w:t>
      </w:r>
      <w:r>
        <w:rPr>
          <w:sz w:val="28"/>
          <w:lang w:val="en-US"/>
        </w:rPr>
      </w:r>
      <w:r>
        <w:rPr>
          <w:sz w:val="28"/>
          <w:lang w:val="en-US"/>
        </w:rPr>
      </w:r>
    </w:p>
    <w:tbl>
      <w:tblPr>
        <w:tblW w:w="5079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228"/>
        <w:gridCol w:w="1622"/>
        <w:gridCol w:w="2170"/>
        <w:gridCol w:w="1409"/>
        <w:gridCol w:w="989"/>
        <w:gridCol w:w="1075"/>
      </w:tblGrid>
      <w:tr>
        <w:tblPrEx/>
        <w:trPr>
          <w:trHeight w:val="510"/>
        </w:trPr>
        <w:tc>
          <w:tcPr>
            <w:shd w:val="clear" w:color="ffffff" w:fill="ffffff"/>
            <w:tcW w:w="1173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VIN/ ИМО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85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Марка ТС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1143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ТС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742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регистрации владения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521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 доли в праве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56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выпуска ТС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173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JTMDDREV60D055480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854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ТОЙОТА RАV4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1143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Автомобили легковые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742" w:type="pct"/>
            <w:vAlign w:val="bottom"/>
            <w:textDirection w:val="lrTb"/>
            <w:noWrap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21.12.2017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521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1/1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566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173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JTJBARBZ902005690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854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LEXUS NX200T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1143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Автомобили легковые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742" w:type="pct"/>
            <w:vAlign w:val="bottom"/>
            <w:textDirection w:val="lrTb"/>
            <w:noWrap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24.03.2015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521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1/1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ffffff" w:fill="ffffff"/>
            <w:tcW w:w="566" w:type="pct"/>
            <w:vAlign w:val="bottom"/>
            <w:textDirection w:val="lrTb"/>
            <w:noWrap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  <w:r/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Руководитель: Уланов Александр Игоревич ИНН 860316641233, дата рождения: 31.01.1985 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Учредитель: Уланов Александр Игоревич ИНН 860316641233 - 100.00% (2 022 000.00 руб.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Адрес регистрации руководителя: 628606, Ханты - Мансийский автономный округ - Югра, г. Нижневартовск, ул. 60 лет Октября, д. 12а, к. 4, кв. 29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Доходы руководителя:</w:t>
      </w:r>
      <w:r>
        <w:rPr>
          <w:sz w:val="28"/>
        </w:rPr>
      </w:r>
      <w:r>
        <w:rPr>
          <w:sz w:val="28"/>
        </w:rPr>
      </w:r>
    </w:p>
    <w:tbl>
      <w:tblPr>
        <w:tblW w:w="9412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227"/>
        <w:gridCol w:w="1700"/>
        <w:gridCol w:w="2072"/>
        <w:gridCol w:w="1296"/>
        <w:gridCol w:w="3117"/>
      </w:tblGrid>
      <w:tr>
        <w:tblPrEx/>
        <w:trPr>
          <w:trHeight w:val="294"/>
          <w:tblHeader/>
        </w:trPr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Отчетный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сумма дохода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налога исчисленная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31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83"/>
          <w:tblHeader/>
        </w:trPr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1 715 511,91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220 286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8603168826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3117" w:type="dxa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"Городской Ломбард" 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83"/>
          <w:tblHeader/>
        </w:trPr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140 800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18 304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860307889510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3117" w:type="dxa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Уланова Татьяна Вячеславовна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ind w:left="720"/>
      </w:pPr>
      <w:r/>
      <w:r/>
      <w:r/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Доходная часть состоит из операций по оплате за б/у изделия – 59 860 000 руб., внесение наличных через устройство самообслуживания – 14 265 000 руб.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По расходной части установлены операции по выплате заработной платы в сумме 693 508,50 руб., согласно по реестру ФИЛИАЛ № 6602 БАНКА ВТБ (ПАО) в сумме 38 340 111,26 руб., Общая сумма 39 033 619,76 руб.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Согласно предоставленного расчета 6-НДФЛ за 12 месяцев 2025 года сумма выплат отражена в размере 19 188 998,71 руб., расхождение с банковской выпиской составляет 19 844 621,05 руб. (39 033 619,76 – 19 188 998,71)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Численность сотрудников, согласно, предоставленного расчета по страховым взносам за 12 месяцев 2025 года составляет 21 человек.</w:t>
      </w:r>
      <w:r>
        <w:rPr>
          <w:sz w:val="28"/>
        </w:rPr>
      </w:r>
      <w:r>
        <w:rPr>
          <w:sz w:val="28"/>
        </w:rPr>
      </w:r>
    </w:p>
    <w:p>
      <w:pPr>
        <w:ind w:firstLine="709"/>
        <w:rPr>
          <w:sz w:val="28"/>
        </w:rPr>
      </w:pPr>
      <w:r>
        <w:rPr>
          <w:sz w:val="28"/>
        </w:rPr>
        <w:t xml:space="preserve">Зарегистрированные ККТ отсутствуют.</w:t>
      </w:r>
      <w:r>
        <w:rPr>
          <w:sz w:val="28"/>
        </w:rPr>
      </w:r>
      <w:r>
        <w:rPr>
          <w:sz w:val="28"/>
        </w:rPr>
      </w:r>
    </w:p>
    <w:p>
      <w:pPr>
        <w:ind w:firstLine="709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Представленная налоговая отчетность по итогам 12 месяцев 2025 года: </w:t>
      </w:r>
      <w:r>
        <w:rPr>
          <w:b/>
          <w:sz w:val="28"/>
          <w:u w:val="single"/>
        </w:rPr>
      </w:r>
      <w:r>
        <w:rPr>
          <w:b/>
          <w:sz w:val="28"/>
          <w:u w:val="singl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01"/>
        <w:gridCol w:w="5386"/>
        <w:gridCol w:w="794"/>
        <w:gridCol w:w="1495"/>
        <w:gridCol w:w="669"/>
      </w:tblGrid>
      <w:tr>
        <w:tblPrEx/>
        <w:trPr>
          <w:trHeight w:val="510"/>
        </w:trPr>
        <w:tc>
          <w:tcPr>
            <w:shd w:val="clear" w:color="000000" w:fill="ecef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П-Сумма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документа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Отчетный период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Отчетный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добавленную стоимость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4 квартал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добавленную стоимость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квартал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добавленную стоимость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2 квартал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добавленную стоимость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 квартал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251898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прибыль организаций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10587447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прибыль организаций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5201992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прибыль организаций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5832012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 на прибыль организаций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910452.64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779.37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895685.84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973334.33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982961.75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501063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512070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9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2269619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6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597712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82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25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00" w:type="pct"/>
            <w:vAlign w:val="bottom"/>
            <w:textDirection w:val="lrTb"/>
            <w:noWrap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8" w:type="pct"/>
            <w:vAlign w:val="bottom"/>
            <w:textDirection w:val="lrTb"/>
            <w:noWrap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ind w:left="360"/>
        <w:jc w:val="both"/>
      </w:pPr>
      <w:r/>
      <w:r/>
      <w:r/>
    </w:p>
    <w:p>
      <w:pPr>
        <w:ind w:left="360"/>
        <w:jc w:val="both"/>
        <w:rPr>
          <w:sz w:val="28"/>
        </w:rPr>
      </w:pPr>
      <w:r>
        <w:rPr>
          <w:sz w:val="28"/>
        </w:rPr>
        <w:t xml:space="preserve">Риски</w:t>
      </w:r>
      <w:r>
        <w:rPr>
          <w:sz w:val="28"/>
        </w:rPr>
      </w:r>
      <w:r>
        <w:rPr>
          <w:sz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079"/>
        <w:gridCol w:w="1254"/>
        <w:gridCol w:w="1254"/>
        <w:gridCol w:w="1254"/>
        <w:gridCol w:w="1254"/>
        <w:gridCol w:w="1250"/>
      </w:tblGrid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Показатели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квартал 2025г.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квартал 2026г.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Группа риска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Низкий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Низкий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Средний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Низкий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Средний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Налоговый риск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202 989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446 766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776 056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1 367 640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463 676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Доля риска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17%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19%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21%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15%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26%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Категория НП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Малое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Малое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Малое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Малое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Малое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ОКВЭД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Сумма выплат (всего)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4 356 635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8 798 508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12 864 588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16 880 650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4 386 319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Сумма выплат (з/п)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4 356 635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8 402 053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11 859 782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15 875 844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4 354 566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Численность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Численность к обработке 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Численность с риском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Средняя з/п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66 010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68 309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67 004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66 149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72 576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Средняя з/п по отрасли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86 514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92 524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96 234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104 139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107 703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Налоговый риск по МРОТ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647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РСВ. Налоговый риск по СОЗ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202 990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446 767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776 056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1 367 640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W w:w="671" w:type="pct"/>
            <w:vAlign w:val="center"/>
            <w:textDirection w:val="lrTb"/>
            <w:noWrap w:val="false"/>
          </w:tcPr>
          <w:p>
            <w:pPr>
              <w:pStyle w:val="709"/>
              <w:numPr>
                <w:ilvl w:val="0"/>
                <w:numId w:val="9"/>
              </w:num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</w:tbl>
    <w:p>
      <w:pPr>
        <w:jc w:val="both"/>
      </w:pPr>
      <w:r/>
      <w:r/>
      <w:r/>
    </w:p>
    <w:p>
      <w:pPr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Заключение по результатам анализа финансово-хозяйственной деятельности налогоплательщика: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ind w:firstLine="709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По расходной части установлены операции по выплате заработной платы в сумме 693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508,50 руб., согласно по реестру ФИЛИАЛ № 6602 БАНКА ВТБ (ПАО) в сумме 38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340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111,26 руб., Общая сумма 39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033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619,76 руб. Расхождение с представленным расчетом по форме 6 – НЛФЛ за 12 месяцев 2025 года составляет 19 188 998,71 руб.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СФР: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Согласно отчета за 2025 год среднесписочная численность сотрудников составляет 26 человек, з</w:t>
      </w:r>
      <w:r>
        <w:rPr>
          <w:color w:val="000000" w:themeColor="text1"/>
          <w:sz w:val="28"/>
          <w:szCs w:val="28"/>
        </w:rPr>
        <w:t xml:space="preserve">адолженность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о страховым взносам</w:t>
      </w:r>
      <w:r>
        <w:rPr>
          <w:color w:val="000000" w:themeColor="text1"/>
          <w:sz w:val="28"/>
          <w:szCs w:val="28"/>
        </w:rPr>
        <w:t xml:space="preserve"> отсутствует.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ЦЗН: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Общество </w:t>
      </w:r>
      <w:r>
        <w:rPr>
          <w:sz w:val="28"/>
          <w:szCs w:val="28"/>
        </w:rPr>
        <w:t xml:space="preserve">не зарегистрировано на портале "Работа России",  в банке данных </w:t>
      </w:r>
      <w:r>
        <w:rPr>
          <w:rFonts w:eastAsia="Calibri"/>
          <w:sz w:val="28"/>
          <w:szCs w:val="28"/>
        </w:rPr>
        <w:t xml:space="preserve">ТЦЗН. </w:t>
      </w:r>
      <w:r>
        <w:rPr>
          <w:sz w:val="28"/>
          <w:szCs w:val="28"/>
        </w:rPr>
        <w:t xml:space="preserve">Свед</w:t>
      </w:r>
      <w:r>
        <w:rPr>
          <w:sz w:val="28"/>
          <w:szCs w:val="28"/>
        </w:rPr>
        <w:t xml:space="preserve">ения о наличии свободных рабочих мест и вакантных должностей данной организацией на единой цифровой платформе "Работа  России" не размещались, в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с чем не представляется возможным установить информацию о размере заработной платы у данной организации. По последним </w:t>
      </w:r>
      <w:r>
        <w:rPr>
          <w:sz w:val="28"/>
          <w:szCs w:val="28"/>
          <w:shd w:val="clear" w:color="auto" w:fill="ffffff"/>
        </w:rPr>
        <w:t xml:space="preserve">данным ФНС </w:t>
      </w:r>
      <w:r>
        <w:rPr>
          <w:bCs/>
          <w:sz w:val="28"/>
          <w:szCs w:val="28"/>
          <w:shd w:val="clear" w:color="auto" w:fill="ffffff"/>
        </w:rPr>
        <w:t xml:space="preserve">нет информации по среднесписочной численности работников</w:t>
      </w:r>
      <w:r>
        <w:rPr>
          <w:bCs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 xml:space="preserve">Сведения о высвобождении не поступали. Отчет по квотированию не предоставляют.</w:t>
      </w:r>
      <w:r/>
      <w:r/>
    </w:p>
    <w:p>
      <w:pPr>
        <w:jc w:val="left"/>
        <w:rPr>
          <w:b/>
          <w:sz w:val="28"/>
          <w:u w:val="single"/>
        </w:rPr>
      </w:pPr>
      <w:r>
        <w:rPr>
          <w:b/>
          <w:sz w:val="28"/>
          <w:u w:val="single"/>
        </w:rPr>
      </w:r>
      <w:r>
        <w:rPr>
          <w:b/>
          <w:sz w:val="28"/>
          <w:u w:val="single"/>
        </w:rPr>
      </w:r>
      <w:r>
        <w:rPr>
          <w:b/>
          <w:sz w:val="28"/>
          <w:u w:val="single"/>
        </w:rPr>
      </w:r>
    </w:p>
    <w:p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3.3. ТСН "ТСЖ НАДЕЖДА" ИНН 8603250277</w:t>
      </w:r>
      <w:r>
        <w:rPr>
          <w:b/>
          <w:sz w:val="28"/>
          <w:u w:val="single"/>
        </w:rPr>
      </w:r>
      <w:r>
        <w:rPr>
          <w:b/>
          <w:sz w:val="28"/>
          <w:u w:val="single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Присутствует:</w:t>
      </w:r>
      <w:r>
        <w:rPr>
          <w:bCs/>
          <w:sz w:val="28"/>
          <w:szCs w:val="28"/>
        </w:rPr>
        <w:t xml:space="preserve"> </w:t>
      </w:r>
      <w:r>
        <w:rPr>
          <w:sz w:val="28"/>
        </w:rPr>
        <w:t xml:space="preserve">ответственный за ведение бухгалтерского учета</w:t>
      </w:r>
      <w:r>
        <w:rPr>
          <w:bCs/>
          <w:sz w:val="28"/>
          <w:szCs w:val="28"/>
        </w:rPr>
        <w:t xml:space="preserve"> </w:t>
      </w:r>
      <w:r>
        <w:rPr>
          <w:sz w:val="28"/>
        </w:rPr>
        <w:t xml:space="preserve">Беляева </w:t>
      </w: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</w:rPr>
      </w:pPr>
      <w:r>
        <w:rPr>
          <w:sz w:val="28"/>
        </w:rPr>
        <w:t xml:space="preserve">Анастасия Викторовна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информации ФНС: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Дата регистрации 23.11.2023, не находится в процедуре банкротства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ТСН «ТСЖ НАДЕЖДА» применяет упрощенную систему налогообложения.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Адрес регистрации: </w:t>
      </w:r>
      <w:r>
        <w:rPr>
          <w:color w:val="222222"/>
          <w:sz w:val="28"/>
          <w:shd w:val="clear" w:color="auto" w:fill="ffffff"/>
        </w:rPr>
        <w:t xml:space="preserve">628605,</w:t>
      </w:r>
      <w:r>
        <w:rPr>
          <w:color w:val="222222"/>
          <w:sz w:val="28"/>
          <w:shd w:val="clear" w:color="auto" w:fill="ffffff"/>
        </w:rPr>
        <w:t xml:space="preserve"> </w:t>
      </w:r>
      <w:r>
        <w:rPr>
          <w:color w:val="222222"/>
          <w:sz w:val="28"/>
          <w:shd w:val="clear" w:color="auto" w:fill="ffffff"/>
        </w:rPr>
        <w:t xml:space="preserve">РОССИЯ, ХАНТЫ-МАНСИЙСКИЙ АВТОНОМНЫЙ ОКРУГ - ЮГРА </w:t>
      </w:r>
      <w:r>
        <w:rPr>
          <w:color w:val="222222"/>
          <w:sz w:val="28"/>
          <w:shd w:val="clear" w:color="auto" w:fill="ffffff"/>
        </w:rPr>
        <w:t xml:space="preserve">АО,,</w:t>
      </w:r>
      <w:r>
        <w:rPr>
          <w:color w:val="222222"/>
          <w:sz w:val="28"/>
          <w:shd w:val="clear" w:color="auto" w:fill="ffffff"/>
        </w:rPr>
        <w:t xml:space="preserve">НИЖНЕВАРТОВСК, 60 ЛЕТ ОКТЯБРЯ ,Д. 76,,ПОМЕЩ. 1001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Собственность отсутствует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</w:rPr>
        <w:t xml:space="preserve">Руководитель </w:t>
      </w:r>
      <w:hyperlink r:id="rId9" w:tooltip="javascript:;" w:history="1">
        <w:r>
          <w:rPr>
            <w:rStyle w:val="851"/>
            <w:rFonts w:eastAsia="Arial"/>
            <w:color w:val="auto"/>
            <w:sz w:val="28"/>
            <w:u w:val="none"/>
          </w:rPr>
          <w:t xml:space="preserve">РОЙ ЕЛЕНА АЛЕКСАНДРОВНА, ИНН 860317281512</w:t>
        </w:r>
      </w:hyperlink>
      <w:r>
        <w:rPr>
          <w:sz w:val="28"/>
        </w:rPr>
        <w:t xml:space="preserve">, дата рождения 18.03.1981 </w:t>
      </w:r>
      <w:r>
        <w:rPr>
          <w:sz w:val="28"/>
          <w:shd w:val="clear" w:color="auto" w:fill="ffffff"/>
        </w:rPr>
      </w:r>
      <w:r>
        <w:rPr>
          <w:sz w:val="28"/>
          <w:shd w:val="clear" w:color="auto" w:fill="ffffff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Адрес регистрации руководителя: </w:t>
      </w:r>
      <w:r>
        <w:rPr>
          <w:color w:val="222222"/>
          <w:sz w:val="28"/>
          <w:shd w:val="clear" w:color="auto" w:fill="ffffff"/>
        </w:rPr>
        <w:t xml:space="preserve">628605, РОССИЯ, Ханты-Мансийский Автономный округ - Югра АО, г. Нижневартовск, ул. 60 лет Октября, 76, 31</w:t>
      </w:r>
      <w:r>
        <w:rPr>
          <w:sz w:val="28"/>
        </w:rPr>
      </w:r>
      <w:r>
        <w:rPr>
          <w:sz w:val="28"/>
        </w:rPr>
      </w:r>
    </w:p>
    <w:p>
      <w:pPr>
        <w:ind w:left="720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 xml:space="preserve">Доходы руководителя:</w:t>
      </w:r>
      <w:r>
        <w:rPr>
          <w:color w:val="222222"/>
          <w:sz w:val="28"/>
          <w:shd w:val="clear" w:color="auto" w:fill="ffffff"/>
        </w:rPr>
      </w:r>
      <w:r>
        <w:rPr>
          <w:color w:val="222222"/>
          <w:sz w:val="28"/>
          <w:shd w:val="clear" w:color="auto" w:fill="ffffff"/>
        </w:rPr>
      </w:r>
    </w:p>
    <w:tbl>
      <w:tblPr>
        <w:tblW w:w="9284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318"/>
        <w:gridCol w:w="1766"/>
        <w:gridCol w:w="2253"/>
        <w:gridCol w:w="1116"/>
        <w:gridCol w:w="2831"/>
      </w:tblGrid>
      <w:tr>
        <w:tblPrEx/>
        <w:trPr>
          <w:trHeight w:val="350"/>
          <w:tblHeader/>
        </w:trPr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Отчетный год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Общая сумма дохода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Сумма налога исчисленная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ИНН НА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shd w:val="clear" w:color="ffffff" w:fill="ffffff"/>
            <w:tcW w:w="283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Наименование НА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99"/>
          <w:tblHeader/>
        </w:trPr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136 706.25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17 772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8602246207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2831" w:type="dxa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"ЭВЭНКС-Северный"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99"/>
          <w:tblHeader/>
        </w:trPr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183 915.00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23 909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0" w:type="auto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8603250277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W w:w="2831" w:type="dxa"/>
            <w:vAlign w:val="bottom"/>
            <w:textDirection w:val="lrTb"/>
            <w:noWrap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ТСН "ТСЖ НАДЕЖДА" 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ind w:left="720"/>
        <w:jc w:val="both"/>
      </w:pPr>
      <w:r/>
      <w:r/>
      <w:r/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Доходная часть состоит из операций </w:t>
      </w:r>
      <w:r>
        <w:rPr>
          <w:b/>
          <w:sz w:val="28"/>
        </w:rPr>
        <w:t xml:space="preserve">внутренние переводы на сумму 68 764 160.00 руб. (возврат депозита по договору), </w:t>
      </w:r>
      <w:r>
        <w:rPr>
          <w:sz w:val="28"/>
        </w:rPr>
        <w:t xml:space="preserve">переч</w:t>
      </w:r>
      <w:r>
        <w:rPr>
          <w:sz w:val="28"/>
        </w:rPr>
        <w:t xml:space="preserve">.</w:t>
      </w:r>
      <w:r>
        <w:rPr>
          <w:sz w:val="28"/>
        </w:rPr>
        <w:t xml:space="preserve"> </w:t>
      </w:r>
      <w:r>
        <w:rPr>
          <w:sz w:val="28"/>
        </w:rPr>
        <w:t xml:space="preserve">фонда кап.</w:t>
      </w:r>
      <w:r>
        <w:rPr>
          <w:sz w:val="28"/>
        </w:rPr>
        <w:t xml:space="preserve"> </w:t>
      </w:r>
      <w:r>
        <w:rPr>
          <w:sz w:val="28"/>
        </w:rPr>
        <w:t xml:space="preserve">рем со </w:t>
      </w:r>
      <w:r>
        <w:rPr>
          <w:sz w:val="28"/>
        </w:rPr>
        <w:t xml:space="preserve">сч</w:t>
      </w:r>
      <w:r>
        <w:rPr>
          <w:sz w:val="28"/>
        </w:rPr>
        <w:t xml:space="preserve"> рег.</w:t>
      </w:r>
      <w:r>
        <w:rPr>
          <w:sz w:val="28"/>
        </w:rPr>
        <w:t xml:space="preserve"> </w:t>
      </w:r>
      <w:r>
        <w:rPr>
          <w:sz w:val="28"/>
        </w:rPr>
        <w:t xml:space="preserve">опер.</w:t>
      </w:r>
      <w:r>
        <w:rPr>
          <w:sz w:val="28"/>
        </w:rPr>
        <w:t xml:space="preserve"> </w:t>
      </w:r>
      <w:r>
        <w:rPr>
          <w:sz w:val="28"/>
        </w:rPr>
        <w:t xml:space="preserve">на спец.</w:t>
      </w:r>
      <w:r>
        <w:rPr>
          <w:sz w:val="28"/>
        </w:rPr>
        <w:t xml:space="preserve"> счет г. Н</w:t>
      </w:r>
      <w:r>
        <w:rPr>
          <w:sz w:val="28"/>
        </w:rPr>
        <w:t xml:space="preserve">ижневартовск ул.60 лет октября д.76 пр.</w:t>
      </w:r>
      <w:r>
        <w:rPr>
          <w:sz w:val="28"/>
        </w:rPr>
        <w:t xml:space="preserve"> </w:t>
      </w:r>
      <w:r>
        <w:rPr>
          <w:sz w:val="28"/>
        </w:rPr>
        <w:t xml:space="preserve">общ.</w:t>
      </w:r>
      <w:r>
        <w:rPr>
          <w:sz w:val="28"/>
        </w:rPr>
        <w:t xml:space="preserve"> </w:t>
      </w:r>
      <w:r>
        <w:rPr>
          <w:sz w:val="28"/>
        </w:rPr>
        <w:t xml:space="preserve">собр.</w:t>
      </w:r>
      <w:r>
        <w:rPr>
          <w:sz w:val="28"/>
        </w:rPr>
        <w:t xml:space="preserve"> </w:t>
      </w:r>
      <w:r>
        <w:rPr>
          <w:sz w:val="28"/>
        </w:rPr>
        <w:t xml:space="preserve">собств.</w:t>
      </w:r>
      <w:r>
        <w:rPr>
          <w:sz w:val="28"/>
        </w:rPr>
        <w:t xml:space="preserve"> </w:t>
      </w:r>
      <w:r>
        <w:rPr>
          <w:sz w:val="28"/>
        </w:rPr>
        <w:t xml:space="preserve">помещ</w:t>
      </w:r>
      <w:r>
        <w:rPr>
          <w:sz w:val="28"/>
        </w:rPr>
        <w:t xml:space="preserve">.</w:t>
      </w:r>
      <w:r>
        <w:rPr>
          <w:sz w:val="28"/>
        </w:rPr>
        <w:t xml:space="preserve"> </w:t>
      </w:r>
      <w:r>
        <w:rPr>
          <w:sz w:val="28"/>
        </w:rPr>
        <w:t xml:space="preserve">в </w:t>
      </w:r>
      <w:r>
        <w:rPr>
          <w:sz w:val="28"/>
        </w:rPr>
        <w:t xml:space="preserve">МКД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18.03.24</w:t>
      </w:r>
      <w:r>
        <w:rPr>
          <w:sz w:val="28"/>
        </w:rPr>
        <w:t xml:space="preserve"> </w:t>
      </w:r>
      <w:r>
        <w:rPr>
          <w:sz w:val="28"/>
        </w:rPr>
        <w:t xml:space="preserve">№2 за 01.09.14-30.04.25 на сумму 19 569 487</w:t>
      </w:r>
      <w:r>
        <w:rPr>
          <w:sz w:val="28"/>
        </w:rPr>
        <w:t xml:space="preserve">,</w:t>
      </w:r>
      <w:r>
        <w:rPr>
          <w:sz w:val="28"/>
        </w:rPr>
        <w:t xml:space="preserve">71 руб. (Сбербанк), оплата по поручению ТСН на сумму 7 758 978</w:t>
      </w:r>
      <w:r>
        <w:rPr>
          <w:sz w:val="28"/>
        </w:rPr>
        <w:t xml:space="preserve">,</w:t>
      </w:r>
      <w:r>
        <w:rPr>
          <w:sz w:val="28"/>
        </w:rPr>
        <w:t xml:space="preserve">68 руб.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По расходной части установлены операции по выплате заработной платы по реестрам через ПАО Сбербанк в сумме 228 758</w:t>
      </w:r>
      <w:r>
        <w:rPr>
          <w:sz w:val="28"/>
        </w:rPr>
        <w:t xml:space="preserve">,</w:t>
      </w:r>
      <w:r>
        <w:rPr>
          <w:sz w:val="28"/>
        </w:rPr>
        <w:t xml:space="preserve">00 руб., выплаты в п/отчет по реестрам на сумму 68 033</w:t>
      </w:r>
      <w:r>
        <w:rPr>
          <w:sz w:val="28"/>
        </w:rPr>
        <w:t xml:space="preserve">,</w:t>
      </w:r>
      <w:r>
        <w:rPr>
          <w:sz w:val="28"/>
        </w:rPr>
        <w:t xml:space="preserve">02 руб., расчеты по бизнес картам на сумму 87 055</w:t>
      </w:r>
      <w:r>
        <w:rPr>
          <w:sz w:val="28"/>
        </w:rPr>
        <w:t xml:space="preserve">,</w:t>
      </w:r>
      <w:r>
        <w:rPr>
          <w:sz w:val="28"/>
        </w:rPr>
        <w:t xml:space="preserve">54 руб., всего на общую сум</w:t>
      </w:r>
      <w:r>
        <w:rPr>
          <w:sz w:val="28"/>
        </w:rPr>
        <w:t xml:space="preserve">му 383 846,56 руб. Так</w:t>
      </w:r>
      <w:r>
        <w:rPr>
          <w:sz w:val="28"/>
        </w:rPr>
        <w:t xml:space="preserve">же установлены внутренние переводы на сумму 80 776 392</w:t>
      </w:r>
      <w:r>
        <w:rPr>
          <w:sz w:val="28"/>
        </w:rPr>
        <w:t xml:space="preserve">,</w:t>
      </w:r>
      <w:r>
        <w:rPr>
          <w:sz w:val="28"/>
        </w:rPr>
        <w:t xml:space="preserve">79 руб. (перечисление средств во вклад (депозит) по договору.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По данным расчета (форма№6-НДФЛ) за 12 месяцев 2025 года сумма дохода, полученная </w:t>
      </w:r>
      <w:r>
        <w:rPr>
          <w:sz w:val="28"/>
        </w:rPr>
        <w:t xml:space="preserve">физическими лицами</w:t>
      </w:r>
      <w:r>
        <w:rPr>
          <w:sz w:val="28"/>
        </w:rPr>
        <w:t xml:space="preserve"> составила 183 915</w:t>
      </w:r>
      <w:r>
        <w:rPr>
          <w:sz w:val="28"/>
        </w:rPr>
        <w:t xml:space="preserve">,</w:t>
      </w:r>
      <w:r>
        <w:rPr>
          <w:sz w:val="28"/>
        </w:rPr>
        <w:t xml:space="preserve">00 руб., таким образом, занижена налоговая база на сумму 199 931</w:t>
      </w:r>
      <w:r>
        <w:rPr>
          <w:sz w:val="28"/>
        </w:rPr>
        <w:t xml:space="preserve">,</w:t>
      </w:r>
      <w:r>
        <w:rPr>
          <w:sz w:val="28"/>
        </w:rPr>
        <w:t xml:space="preserve">56 руб.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Численность сотрудников, согласно предоставленного расчета по страховым взносам за 12 месяцев 2025 года составляет 1 человек.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Зарегистрированные ККТ отсутствуют.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Представленная налоговая отчетность по итогам 12 месяцев 2025, 3 месяца 2026 года:</w:t>
      </w:r>
      <w:r>
        <w:rPr>
          <w:b/>
          <w:sz w:val="28"/>
          <w:u w:val="single"/>
        </w:rPr>
      </w:r>
      <w:r>
        <w:rPr>
          <w:b/>
          <w:sz w:val="28"/>
          <w:u w:val="single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91"/>
        <w:gridCol w:w="2194"/>
        <w:gridCol w:w="1189"/>
        <w:gridCol w:w="1493"/>
        <w:gridCol w:w="1203"/>
        <w:gridCol w:w="1074"/>
        <w:gridCol w:w="1301"/>
      </w:tblGrid>
      <w:tr>
        <w:tblPrEx/>
        <w:trPr>
          <w:trHeight w:val="765"/>
        </w:trPr>
        <w:tc>
          <w:tcPr>
            <w:shd w:val="clear" w:color="000000" w:fill="ecef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П-Сумма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документа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корректировки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Отчетный период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Отчетный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eceff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поступления в НО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4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Уточненный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15.05.2026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9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8966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26.04.2026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4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20690.10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3 месяца,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26.04.2026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4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Упрощенная бухгалтерская (финансовая) отчетность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30.03.2026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9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4840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Налоговая декларация по налогу, уплачиваемому в связи с применением упрощенной системы налогообложения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год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24.03.2026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9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8966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сумм налога на доходы физических лиц, исчисленных и удержанных налоговым агентом (форма № 6-НДФЛ)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25.02.2026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49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7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6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по страховым взносам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45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Первичный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9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4" w:type="pct"/>
            <w:vAlign w:val="bottom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12 месяцев, квартальный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5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6" w:type="pct"/>
            <w:vAlign w:val="bottom"/>
            <w:textDirection w:val="lrTb"/>
            <w:noWrap w:val="false"/>
          </w:tcPr>
          <w:p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27.01.2026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ind w:left="720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В ходе анализа банковской выписки за 2025 на расчетный счет организации поступили денежные средства в размере 100 755 250</w:t>
      </w:r>
      <w:r>
        <w:rPr>
          <w:sz w:val="28"/>
        </w:rPr>
        <w:t xml:space="preserve">,</w:t>
      </w:r>
      <w:r>
        <w:rPr>
          <w:sz w:val="28"/>
        </w:rPr>
        <w:t xml:space="preserve">84 руб. из них внутренние переводы на сумму 68 764</w:t>
      </w:r>
      <w:r>
        <w:rPr>
          <w:sz w:val="28"/>
        </w:rPr>
        <w:t xml:space="preserve"> </w:t>
      </w:r>
      <w:r>
        <w:rPr>
          <w:sz w:val="28"/>
        </w:rPr>
        <w:t xml:space="preserve">160</w:t>
      </w:r>
      <w:r>
        <w:rPr>
          <w:sz w:val="28"/>
        </w:rPr>
        <w:t xml:space="preserve">,</w:t>
      </w:r>
      <w:r>
        <w:rPr>
          <w:sz w:val="28"/>
        </w:rPr>
        <w:t xml:space="preserve">00 руб.</w:t>
      </w:r>
      <w:r>
        <w:rPr>
          <w:sz w:val="28"/>
        </w:rPr>
      </w:r>
      <w:r>
        <w:rPr>
          <w:sz w:val="28"/>
        </w:rPr>
      </w:r>
    </w:p>
    <w:p>
      <w:pPr>
        <w:ind w:left="720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left="720"/>
        <w:rPr>
          <w:b/>
          <w:sz w:val="28"/>
        </w:rPr>
      </w:pPr>
      <w:r>
        <w:rPr>
          <w:b/>
          <w:sz w:val="28"/>
        </w:rPr>
        <w:t xml:space="preserve">Анализ риска по ЗП (АСК «ДФЛ»):</w:t>
      </w:r>
      <w:r>
        <w:rPr>
          <w:b/>
          <w:sz w:val="28"/>
        </w:rPr>
      </w:r>
      <w:r>
        <w:rPr>
          <w:b/>
          <w:sz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238"/>
        <w:gridCol w:w="1271"/>
        <w:gridCol w:w="1271"/>
        <w:gridCol w:w="1271"/>
        <w:gridCol w:w="873"/>
        <w:gridCol w:w="1421"/>
      </w:tblGrid>
      <w:tr>
        <w:tblPrEx/>
        <w:trPr>
          <w:trHeight w:val="51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Показатели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квартал 2025г.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квартал 2025г.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квартал 2025г.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 квартал 2025г.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квартал 2026г.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Группа риска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Отсутствует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Отсутствует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Отсутствует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Низкий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Средний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Налоговый риск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72 595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25 914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Доля риска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0%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0%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0%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75%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56%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Категория НП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Микро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Микро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Микро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Микро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Микро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ОКВЭД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Сумма выплат (всего)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68 967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Сумма выплат (з/п)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68 967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Численность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Численность к обработке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Численность с риском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Средняя з/п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22 989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Средняя з/п по отрасли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49 528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50 802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51 277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52 186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58 149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Налоговый риск по МРОТ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2 709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W w:w="1740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РСВ. Налоговый риск по СОЗ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675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467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770" w:type="pct"/>
            <w:vAlign w:val="center"/>
            <w:textDirection w:val="lrTb"/>
            <w:noWrap w:val="false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23 206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ind w:firstLine="36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Заключение по результатам анализа финансово-хозяйственной деятельности налогоплательщика: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расходной части установлены операции по выплате заработной платы по реестрам через ПАО Сбербанк в сумме 228 758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00 руб., выплаты в п/отчет по реестрам на сумму 68 033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02 руб., расчеты по бизнес картам на сумму 87 055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54 руб., всего на общую сумму 383 846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56 руб. Также установлены внутренние переводы на сумму 80 776 392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79 руб. (перечисление средств во вклад (депозит) по договору.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Риски выплаты заработной платы меньше МРОТ за 1 квартал 2026 по сотруднику Рой Елена Александровна, Средняя зарплата: 22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989, МРОТ: </w:t>
      </w:r>
      <w:r>
        <w:rPr>
          <w:sz w:val="28"/>
          <w:szCs w:val="28"/>
        </w:rPr>
        <w:t xml:space="preserve">27 </w:t>
      </w:r>
      <w:r>
        <w:rPr>
          <w:sz w:val="28"/>
          <w:szCs w:val="28"/>
        </w:rPr>
        <w:t xml:space="preserve">093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18.06.2026 положительное сальдо единого налогового счета у Общества составляет 129 386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30 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highlight w:val="none"/>
        </w:rPr>
      </w:r>
      <w:r>
        <w:rPr>
          <w:b/>
          <w:color w:val="000000" w:themeColor="text1"/>
          <w:sz w:val="28"/>
          <w:szCs w:val="28"/>
          <w:highlight w:val="none"/>
        </w:rPr>
      </w:r>
    </w:p>
    <w:p>
      <w:pPr>
        <w:ind w:firstLine="709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</w:rPr>
        <w:t xml:space="preserve">По информации СФР: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Согласно отчета за 2025 год среднесписочная численность сотрудников составляет 1 человек, з</w:t>
      </w:r>
      <w:r>
        <w:rPr>
          <w:color w:val="000000" w:themeColor="text1"/>
          <w:sz w:val="28"/>
          <w:szCs w:val="28"/>
        </w:rPr>
        <w:t xml:space="preserve">адолженность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о страховым взносам</w:t>
      </w:r>
      <w:r>
        <w:rPr>
          <w:color w:val="000000" w:themeColor="text1"/>
          <w:sz w:val="28"/>
          <w:szCs w:val="28"/>
        </w:rPr>
        <w:t xml:space="preserve"> отсутствует.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</w:rPr>
        <w:t xml:space="preserve">По информации ЦЗН: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ТСЖ </w:t>
      </w:r>
      <w:r>
        <w:rPr>
          <w:b w:val="0"/>
          <w:bCs w:val="0"/>
          <w:sz w:val="28"/>
          <w:szCs w:val="28"/>
        </w:rPr>
        <w:t xml:space="preserve">не зарегистрировано на портале "Работа России",  в банке данных </w:t>
      </w:r>
      <w:r>
        <w:rPr>
          <w:rFonts w:eastAsia="Calibri"/>
          <w:b w:val="0"/>
          <w:bCs w:val="0"/>
          <w:sz w:val="28"/>
          <w:szCs w:val="28"/>
        </w:rPr>
        <w:t xml:space="preserve">ТЦЗН. </w:t>
      </w:r>
      <w:r>
        <w:rPr>
          <w:b w:val="0"/>
          <w:bCs w:val="0"/>
          <w:sz w:val="28"/>
          <w:szCs w:val="28"/>
        </w:rPr>
        <w:t xml:space="preserve">Свед</w:t>
      </w:r>
      <w:r>
        <w:rPr>
          <w:sz w:val="28"/>
          <w:szCs w:val="28"/>
        </w:rPr>
        <w:t xml:space="preserve">ения о наличии свободных рабочих мест и вакантных должностей данной организацией на единой цифровой платформе "Работа  России" не размещались, в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с чем не представляется возможным установить информацию о размере заработной платы у данной организации. По последним </w:t>
      </w:r>
      <w:r>
        <w:rPr>
          <w:sz w:val="28"/>
          <w:szCs w:val="28"/>
          <w:shd w:val="clear" w:color="auto" w:fill="ffffff"/>
        </w:rPr>
        <w:t xml:space="preserve">данным ФНС </w:t>
      </w:r>
      <w:r>
        <w:rPr>
          <w:bCs/>
          <w:sz w:val="28"/>
          <w:szCs w:val="28"/>
          <w:shd w:val="clear" w:color="auto" w:fill="ffffff"/>
        </w:rPr>
        <w:t xml:space="preserve">нет информации по среднесписочной численности работников</w:t>
      </w:r>
      <w:r>
        <w:rPr>
          <w:bCs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 xml:space="preserve">Сведения о высвобождении не поступали. Отчет по квотированию не предоставляют.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4. О неформальной занятости при осуществлении деятельности индивидуальными предпринимателями, сотрудничающими</w:t>
      </w:r>
      <w:r>
        <w:rPr>
          <w:b/>
          <w:sz w:val="28"/>
          <w:szCs w:val="28"/>
        </w:rPr>
        <w:br/>
        <w:t xml:space="preserve">с </w:t>
      </w:r>
      <w:r>
        <w:rPr>
          <w:b/>
          <w:sz w:val="28"/>
          <w:szCs w:val="28"/>
        </w:rPr>
        <w:t xml:space="preserve">маркетплейсами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4.1</w:t>
      </w:r>
      <w:r>
        <w:rPr>
          <w:b/>
          <w:bCs/>
          <w:sz w:val="28"/>
          <w:szCs w:val="28"/>
        </w:rPr>
        <w:t xml:space="preserve">.</w:t>
      </w:r>
      <w:r>
        <w:rPr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  <w:highlight w:val="white"/>
        </w:rPr>
        <w:t xml:space="preserve">ИП Эскина Галина </w:t>
      </w:r>
      <w:r>
        <w:rPr>
          <w:rFonts w:eastAsia="Calibri"/>
          <w:b/>
          <w:bCs/>
          <w:sz w:val="28"/>
          <w:szCs w:val="28"/>
          <w:highlight w:val="white"/>
        </w:rPr>
        <w:t xml:space="preserve">Юзиковна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</w:rPr>
      </w:pPr>
      <w:r>
        <w:rPr>
          <w:b/>
        </w:rPr>
        <w:t xml:space="preserve">(в режиме ВКС)</w:t>
      </w:r>
      <w:r>
        <w:rPr>
          <w:b/>
        </w:rPr>
      </w:r>
      <w:r>
        <w:rPr>
          <w:b/>
        </w:rPr>
      </w:r>
    </w:p>
    <w:p>
      <w:pPr>
        <w:jc w:val="center"/>
        <w:rPr>
          <w:b/>
          <w:bCs/>
          <w:sz w:val="28"/>
          <w:szCs w:val="28"/>
          <w:highlight w:val="white"/>
        </w:rPr>
      </w:pPr>
      <w:r/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ИНН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  <w:highlight w:val="white"/>
        </w:rPr>
        <w:t xml:space="preserve">860318452640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регистрации: 11.07.2025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Адрес регистрации: ХМАО-Югра, г, Нижневартовск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Фактический адрес: ул. Ханты-Мансийская, 25, ПВЗ Озон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Сведения об основном виде деятельности: Торговля розничная по почте или по информационно-коммуникационной сети Интернет.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работы: с 09.00 до 21.00.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работников: по данным УФНС России по ХМАО - Югре – 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на момент выезда трудовую функцию осуществлял </w:t>
      </w:r>
      <w:r>
        <w:rPr>
          <w:sz w:val="28"/>
          <w:szCs w:val="28"/>
        </w:rPr>
        <w:br/>
        <w:t xml:space="preserve">1 человек, который пояснил, что подменяет владельца ПВЗ во время обеденного перерыва.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Индивидуальный предприниматель в СФР на учете как работодатель не состоит, на портале «Работа России»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не зарегистрирован.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bCs/>
          <w:color w:val="000000" w:themeColor="text1"/>
          <w:sz w:val="28"/>
          <w:szCs w:val="28"/>
        </w:rPr>
        <w:t xml:space="preserve">По информации ФНС: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Единого государственного реестра индивидуальных пре</w:t>
      </w:r>
      <w:r>
        <w:rPr>
          <w:sz w:val="28"/>
          <w:szCs w:val="28"/>
        </w:rPr>
        <w:t xml:space="preserve">дпринимателей Эскина Галина Юзиковна (далее – ИП Эскина Г.Ю.) в период с 11.07.2025 по настоящее время зарегистрирован в качестве индивидуального предпринимателя. Место осуществления деятельности: Ханты-Мансийский автономный округ – Югра, г. Нижневартовск.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628617, Ханты - Мансийский автономный округ - Югра, г. Нижневартовск, ул. Интернациональная, д. 57, кв. 31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bCs/>
        </w:rPr>
      </w:pPr>
      <w:r>
        <w:rPr>
          <w:sz w:val="28"/>
          <w:szCs w:val="28"/>
        </w:rPr>
        <w:t xml:space="preserve">Основной вид деятельности: </w:t>
      </w:r>
      <w:r>
        <w:rPr>
          <w:bCs/>
          <w:sz w:val="28"/>
          <w:szCs w:val="28"/>
        </w:rPr>
        <w:t xml:space="preserve">47.91 Торговля розничная по почте или по информационно-коммуникационной сети </w:t>
      </w:r>
      <w:r>
        <w:rPr>
          <w:bCs/>
        </w:rPr>
      </w:r>
      <w:r>
        <w:rPr>
          <w:bCs/>
        </w:rPr>
      </w:r>
    </w:p>
    <w:p>
      <w:pPr>
        <w:pStyle w:val="67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ИП Эскина Г.Ю. применяет автоматизированную упрощенную систему налогообложения с 11.07.2026.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по налогам в ЕНС по состоянию на текущую дату отсутствует.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применением АУСН предоставление расчетов по страховым взносам и расчетов сумм налога на доходы физических лиц, исчисленных и удержанных налоговым агентом (форма № 6-НДФЛ) не предусмотрено.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jc w:val="both"/>
        <w:rPr>
          <w:color w:val="000000"/>
        </w:rPr>
      </w:pPr>
      <w:r>
        <w:rPr>
          <w:color w:val="ff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Выплаты заработной платы в отношении физических лиц отсутствуют.</w:t>
      </w:r>
      <w:r>
        <w:rPr>
          <w:color w:val="000000"/>
        </w:rPr>
      </w:r>
      <w:r>
        <w:rPr>
          <w:color w:val="000000"/>
        </w:rPr>
      </w:r>
    </w:p>
    <w:p>
      <w:pPr>
        <w:pStyle w:val="670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Контрольно – кассовая техника не зарегистрирована.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СФР: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ИП не состоит на учете, как работодатель.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0"/>
        <w:jc w:val="both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  <w:t xml:space="preserve">По информации ЦЗН: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ИП </w:t>
      </w:r>
      <w:r>
        <w:rPr>
          <w:sz w:val="28"/>
          <w:szCs w:val="28"/>
        </w:rPr>
        <w:t xml:space="preserve">не зарегистрирован на портале "Работа России",  в банке данных </w:t>
      </w:r>
      <w:r>
        <w:rPr>
          <w:rFonts w:eastAsia="Calibri"/>
          <w:sz w:val="28"/>
          <w:szCs w:val="28"/>
        </w:rPr>
        <w:t xml:space="preserve">ТЦЗН. </w:t>
      </w:r>
      <w:r>
        <w:rPr>
          <w:sz w:val="28"/>
          <w:szCs w:val="28"/>
        </w:rPr>
        <w:t xml:space="preserve">Сведения о наличии свободных рабочих мест и вакантных должностей данного индивидуального предпринимателя на единой цифровой платформе "Работа  России" не размещались, в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с чем не представляется возможным установить информацию о размере заработной платы у данного индивидуального предпринимателя. По </w:t>
      </w:r>
      <w:r>
        <w:rPr>
          <w:sz w:val="28"/>
          <w:szCs w:val="28"/>
          <w:shd w:val="clear" w:color="auto" w:fill="ffffff"/>
        </w:rPr>
        <w:t xml:space="preserve">данным ФНС </w:t>
      </w:r>
      <w:r>
        <w:rPr>
          <w:bCs/>
          <w:sz w:val="28"/>
          <w:szCs w:val="28"/>
          <w:shd w:val="clear" w:color="auto" w:fill="ffffff"/>
        </w:rPr>
        <w:t xml:space="preserve">нет данных по среднесписочной численности работников. </w:t>
      </w:r>
      <w:r>
        <w:rPr>
          <w:sz w:val="28"/>
          <w:szCs w:val="28"/>
        </w:rPr>
        <w:t xml:space="preserve">Сведения о высвобождении не поступали. Отчет по квотированию не предоставляют.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spacing w:beforeAutospacing="1" w:afterAutospacing="1"/>
        <w:shd w:val="clear" w:color="auto" w:fill="ffffff"/>
        <w:rPr>
          <w:rFonts w:eastAsia="Calibri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4.2. ИП </w:t>
      </w:r>
      <w:r>
        <w:rPr>
          <w:rFonts w:eastAsia="Calibri"/>
          <w:b/>
          <w:bCs/>
          <w:color w:val="000000" w:themeColor="text1"/>
          <w:sz w:val="28"/>
          <w:szCs w:val="28"/>
        </w:rPr>
        <w:t xml:space="preserve">Буржумов</w:t>
      </w:r>
      <w:r>
        <w:rPr>
          <w:rFonts w:eastAsia="Calibri"/>
          <w:b/>
          <w:bCs/>
          <w:color w:val="000000" w:themeColor="text1"/>
          <w:sz w:val="28"/>
          <w:szCs w:val="28"/>
        </w:rPr>
        <w:t xml:space="preserve"> Руслан </w:t>
      </w:r>
      <w:r>
        <w:rPr>
          <w:rFonts w:eastAsia="Calibri"/>
          <w:b/>
          <w:bCs/>
          <w:color w:val="000000" w:themeColor="text1"/>
          <w:sz w:val="28"/>
          <w:szCs w:val="28"/>
        </w:rPr>
        <w:t xml:space="preserve">Муфрудинович</w:t>
      </w:r>
      <w:r>
        <w:rPr>
          <w:rFonts w:eastAsia="Calibri"/>
          <w:b/>
          <w:bCs/>
          <w:color w:val="000000" w:themeColor="text1"/>
          <w:sz w:val="28"/>
          <w:szCs w:val="28"/>
        </w:rPr>
      </w:r>
      <w:r>
        <w:rPr>
          <w:rFonts w:eastAsia="Calibri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ИНН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  <w:highlight w:val="white"/>
        </w:rPr>
        <w:t xml:space="preserve">052347950300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регистрации: 01.11.2025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Адрес регистрации: ХМАО-Югра, г, Нижневартовск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Фактический адрес: ул. </w:t>
      </w:r>
      <w:r>
        <w:rPr>
          <w:color w:val="000000" w:themeColor="text1"/>
          <w:sz w:val="28"/>
          <w:szCs w:val="28"/>
        </w:rPr>
        <w:t xml:space="preserve">Декабриствов</w:t>
      </w:r>
      <w:r>
        <w:rPr>
          <w:color w:val="000000" w:themeColor="text1"/>
          <w:sz w:val="28"/>
          <w:szCs w:val="28"/>
        </w:rPr>
        <w:t xml:space="preserve">, 8А, ПВЗ Озон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Сведения об основном виде деятельности: Торговля розничная по почте или по информационно-коммуникационной сети Интернет.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Режим работы: с 09.00 до 21.00.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работников: по данным УФНС России по ХМАО - Югре – 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на момент выезда трудовую функцию осуществлял </w:t>
      </w:r>
      <w:r>
        <w:rPr>
          <w:sz w:val="28"/>
          <w:szCs w:val="28"/>
        </w:rPr>
        <w:br/>
        <w:t xml:space="preserve">1 человек, который пояснил, что осуществляет деятельность посменно с владельцем ПВЗ, трудовой договор не заключался.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Индивидуальный предприниматель в СФР на учете как работодатель не состоит, на портале «Работа России»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не зарегистрирован.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bCs/>
          <w:color w:val="000000" w:themeColor="text1"/>
          <w:sz w:val="28"/>
          <w:szCs w:val="28"/>
          <w:highlight w:val="none"/>
        </w:rPr>
        <w:t xml:space="preserve">По информации ФНС: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Единого государственного реестра индивидуальных предпринима</w:t>
      </w:r>
      <w:r>
        <w:rPr>
          <w:sz w:val="28"/>
          <w:szCs w:val="28"/>
        </w:rPr>
        <w:t xml:space="preserve">телей Буржумов Руслан Муфрудинович (далее – ИП Буржумов Р.М.) в период с 01.11.2025 по настоящее время зарегистрирован в качестве индивидуального предпринимателя. Место осуществления деятельности: Ханты-Мансийский автономный округ – Югра, г. Нижневартовск.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628602, Ханты - Мансийский автономный округ - Югра, г. Нижневартовск, ул. 60 лет Октября, д. 49, кв. 124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bCs/>
        </w:rPr>
      </w:pPr>
      <w:r>
        <w:rPr>
          <w:sz w:val="28"/>
          <w:szCs w:val="28"/>
        </w:rPr>
        <w:t xml:space="preserve">Основной вид деятельности: </w:t>
      </w:r>
      <w:r>
        <w:rPr>
          <w:bCs/>
          <w:sz w:val="28"/>
          <w:szCs w:val="28"/>
        </w:rPr>
        <w:t xml:space="preserve">47.91 Торговля розничная по почте или по информационно-коммуникационной сети Интернет</w:t>
      </w:r>
      <w:r>
        <w:rPr>
          <w:bCs/>
        </w:rPr>
      </w:r>
      <w:r>
        <w:rPr>
          <w:bCs/>
        </w:rPr>
      </w:r>
    </w:p>
    <w:p>
      <w:pPr>
        <w:pStyle w:val="67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ИП Буржумов Р.М. с 01.11.2025 по 01.05.2026 году применял единую упрощенную систему налогообложения, с 01.05.2026 автоматизированную упрощенную систему налогообложения.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по налогам в ЕНС по состоянию на текущую дату отсутствует.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 xml:space="preserve">ИП Буржумов Р.М. не представил расчеты по страховым взносам и расчеты по налогу на доходы физических лиц.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применением АУСН предоставление расчетов по страховым взносам и расчетов сумм налога на доходы физических лиц, исчисленных и удержанных налоговым агентом (форма № 6-НДФЛ) не предусмотрено.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jc w:val="both"/>
        <w:rPr>
          <w:color w:val="000000"/>
        </w:rPr>
      </w:pPr>
      <w:r>
        <w:rPr>
          <w:color w:val="ff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Выплаты заработной платы в отношении физических лиц отсутствуют.</w:t>
      </w:r>
      <w:r>
        <w:rPr>
          <w:color w:val="000000"/>
        </w:rPr>
      </w:r>
      <w:r>
        <w:rPr>
          <w:color w:val="000000"/>
        </w:rPr>
      </w:r>
    </w:p>
    <w:p>
      <w:pPr>
        <w:pStyle w:val="670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Контрольно – кассовая техника не зарегистрирована.</w:t>
      </w:r>
      <w:r>
        <w:rPr>
          <w:color w:val="000000"/>
        </w:rPr>
      </w:r>
      <w:r>
        <w:rPr>
          <w:color w:val="000000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СФР: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ИП не состоит на учете, как работодатель.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</w:rPr>
        <w:t xml:space="preserve">По информации ЦЗН: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ИП </w:t>
      </w:r>
      <w:r>
        <w:rPr>
          <w:sz w:val="28"/>
          <w:szCs w:val="28"/>
        </w:rPr>
        <w:t xml:space="preserve">не зарегистрирован на портале "Работа России",  в банке данных </w:t>
      </w:r>
      <w:r>
        <w:rPr>
          <w:rFonts w:eastAsia="Calibri"/>
          <w:sz w:val="28"/>
          <w:szCs w:val="28"/>
        </w:rPr>
        <w:t xml:space="preserve">ТЦЗН. </w:t>
      </w:r>
      <w:r>
        <w:rPr>
          <w:sz w:val="28"/>
          <w:szCs w:val="28"/>
        </w:rPr>
        <w:t xml:space="preserve">Сведения о наличии свободных рабочих мест и вакантных должностей данного индивидуального предпринимателя на единой цифровой платформе "Работа  России" не размещались, в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с чем не представляется возможным установить информацию о размере заработной платы у данного индивидуального предпринимателя. По </w:t>
      </w:r>
      <w:r>
        <w:rPr>
          <w:sz w:val="28"/>
          <w:szCs w:val="28"/>
          <w:shd w:val="clear" w:color="auto" w:fill="ffffff"/>
        </w:rPr>
        <w:t xml:space="preserve">данным ФНС </w:t>
      </w:r>
      <w:r>
        <w:rPr>
          <w:bCs/>
          <w:sz w:val="28"/>
          <w:szCs w:val="28"/>
          <w:shd w:val="clear" w:color="auto" w:fill="ffffff"/>
        </w:rPr>
        <w:t xml:space="preserve">нет данных по среднесписочной численности работников. </w:t>
      </w:r>
      <w:r>
        <w:rPr>
          <w:sz w:val="28"/>
          <w:szCs w:val="28"/>
        </w:rPr>
        <w:t xml:space="preserve">Сведения о высвобождении не поступали. Отчет по квотированию не предоставляют.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4.3. </w:t>
      </w:r>
      <w:r>
        <w:rPr>
          <w:rFonts w:eastAsia="Calibri"/>
          <w:b/>
          <w:bCs/>
          <w:color w:val="000000" w:themeColor="text1"/>
          <w:sz w:val="28"/>
          <w:szCs w:val="28"/>
        </w:rPr>
        <w:t xml:space="preserve">ИП Чебану Анастасия Сергеевна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ИНН</w:t>
      </w:r>
      <w:r>
        <w:rPr>
          <w:color w:val="000000" w:themeColor="text1"/>
          <w:sz w:val="28"/>
          <w:szCs w:val="28"/>
        </w:rPr>
        <w:tab/>
        <w:t xml:space="preserve">860328182880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регистрации: </w:t>
      </w:r>
      <w:r>
        <w:rPr>
          <w:sz w:val="28"/>
          <w:szCs w:val="28"/>
        </w:rPr>
        <w:t xml:space="preserve">24.03.2021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Адрес регистрации: ХМАО-Югра, г, Нижневартовск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Фактический адрес: ул. Л. Толстого, 11, ПВЗ Озон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Сведения об основном виде деятельности: </w:t>
      </w:r>
      <w:r>
        <w:rPr>
          <w:sz w:val="28"/>
          <w:szCs w:val="28"/>
        </w:rPr>
        <w:t xml:space="preserve">Деятельность вспомогательная прочая, связанная с перевозками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работы: с 09.00 до 21.00.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работников: по данным УФНС России по ХМАО - Югре – 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на момент выезда трудовую функцию осуществлял </w:t>
      </w:r>
      <w:r>
        <w:rPr>
          <w:sz w:val="28"/>
          <w:szCs w:val="28"/>
        </w:rPr>
        <w:br/>
        <w:t xml:space="preserve">1 человек, который пояснил, что является несовершеннолетним, трудовой договор не заключался.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Индивидуальный предприниматель в СФР на учете как работодатель не состоит, на портале «Работа России»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не зарегистрирован.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bCs/>
          <w:color w:val="000000" w:themeColor="text1"/>
          <w:sz w:val="28"/>
          <w:szCs w:val="28"/>
          <w:highlight w:val="none"/>
        </w:rPr>
        <w:t xml:space="preserve">По информации ФНС: 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Единого государственного реестра индивидуальных предпринимателей Чебану Анастасия Сергеевна (далее – ИП Чебану А.С.) в период с </w:t>
      </w:r>
      <w:r>
        <w:rPr>
          <w:sz w:val="28"/>
          <w:szCs w:val="28"/>
        </w:rPr>
        <w:t xml:space="preserve">24.03.2021</w:t>
      </w:r>
      <w:r>
        <w:rPr>
          <w:sz w:val="28"/>
          <w:szCs w:val="28"/>
        </w:rPr>
        <w:t xml:space="preserve"> по настоящее время зарегистрирован в качестве индивидуального предпринимателя. Место осуществления деятельности: Ханты-Мансийский автономный округ – Югра, г. Нижневартовск.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</w:t>
      </w:r>
      <w:r>
        <w:rPr>
          <w:sz w:val="28"/>
          <w:szCs w:val="28"/>
        </w:rPr>
        <w:t xml:space="preserve">628602, Ханты - Мансийский автономный округ - Югра, г. Нижневартовск, б-р Рябиновый, д. 11, кв. 124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bCs/>
        </w:rPr>
      </w:pPr>
      <w:r>
        <w:rPr>
          <w:sz w:val="28"/>
          <w:szCs w:val="28"/>
        </w:rPr>
        <w:t xml:space="preserve">Основной вид деятельности: </w:t>
      </w:r>
      <w:r>
        <w:rPr>
          <w:bCs/>
          <w:sz w:val="28"/>
          <w:szCs w:val="28"/>
        </w:rPr>
        <w:t xml:space="preserve">52.29 Деятельность вспомогательная прочая, связанная с перевозками.</w:t>
      </w:r>
      <w:r>
        <w:rPr>
          <w:bCs/>
        </w:rPr>
      </w:r>
      <w:r>
        <w:rPr>
          <w:bCs/>
        </w:rPr>
      </w:r>
    </w:p>
    <w:p>
      <w:pPr>
        <w:pStyle w:val="67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ИП </w:t>
      </w:r>
      <w:r>
        <w:rPr>
          <w:sz w:val="28"/>
          <w:szCs w:val="28"/>
        </w:rPr>
        <w:t xml:space="preserve">Чебану А.С.</w:t>
      </w:r>
      <w:r>
        <w:rPr>
          <w:sz w:val="28"/>
          <w:szCs w:val="28"/>
        </w:rPr>
        <w:t xml:space="preserve"> применя</w:t>
      </w:r>
      <w:r>
        <w:rPr>
          <w:sz w:val="28"/>
          <w:szCs w:val="28"/>
        </w:rPr>
        <w:t xml:space="preserve">ет упрощенную </w:t>
      </w:r>
      <w:r>
        <w:rPr>
          <w:sz w:val="28"/>
          <w:szCs w:val="28"/>
        </w:rPr>
        <w:t xml:space="preserve">систему налогообложения</w:t>
      </w:r>
      <w:r>
        <w:rPr>
          <w:sz w:val="28"/>
          <w:szCs w:val="28"/>
        </w:rPr>
        <w:t xml:space="preserve">, доходы.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адолженность по налогам в ЕНС по состоянию на текущую дату отсутствует.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 xml:space="preserve">ИП Чебану А.С. </w:t>
      </w:r>
      <w:r>
        <w:rPr>
          <w:sz w:val="28"/>
          <w:szCs w:val="28"/>
        </w:rPr>
        <w:t xml:space="preserve">не представил расчеты по страховым взносам и расчеты по налогу на доходы физических лиц.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анализе расчетного счета движение по расчетному счету отсутствует.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0"/>
        <w:jc w:val="both"/>
        <w:rPr>
          <w:color w:val="000000"/>
        </w:rPr>
      </w:pPr>
      <w:r>
        <w:rPr>
          <w:color w:val="ff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Выплаты заработной платы в отношении физических лиц отсутствуют.</w:t>
      </w:r>
      <w:r>
        <w:rPr>
          <w:color w:val="000000"/>
        </w:rPr>
      </w:r>
      <w:r>
        <w:rPr>
          <w:color w:val="000000"/>
        </w:rPr>
      </w:r>
    </w:p>
    <w:p>
      <w:pPr>
        <w:pStyle w:val="670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Контрольно – кассовая техника не зарегистрирована.</w:t>
      </w:r>
      <w:r>
        <w:rPr>
          <w:color w:val="000000"/>
        </w:rPr>
      </w:r>
      <w:r>
        <w:rPr>
          <w:color w:val="000000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color w:val="000000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 информации СФР: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ИП не состоит на учете, как работодатель.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</w:rPr>
        <w:t xml:space="preserve">По информации ЦЗН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ИП </w:t>
      </w:r>
      <w:r>
        <w:rPr>
          <w:sz w:val="28"/>
          <w:szCs w:val="28"/>
        </w:rPr>
        <w:t xml:space="preserve">не зарегистрирован на портале "Работа России",  в банке данных </w:t>
      </w:r>
      <w:r>
        <w:rPr>
          <w:rFonts w:eastAsia="Calibri"/>
          <w:sz w:val="28"/>
          <w:szCs w:val="28"/>
        </w:rPr>
        <w:t xml:space="preserve">ТЦЗН. </w:t>
      </w:r>
      <w:r>
        <w:rPr>
          <w:sz w:val="28"/>
          <w:szCs w:val="28"/>
        </w:rPr>
        <w:t xml:space="preserve">Сведения о наличии свободных рабочих мест и вакантных должностей данного индивидуального предпринимателя на единой цифровой платформе "Работа  России" не размещались, в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с чем не представляется возможным установить информацию о размере заработной платы у данного индивидуального предпринимателя. По </w:t>
      </w:r>
      <w:r>
        <w:rPr>
          <w:sz w:val="28"/>
          <w:szCs w:val="28"/>
          <w:shd w:val="clear" w:color="auto" w:fill="ffffff"/>
        </w:rPr>
        <w:t xml:space="preserve">данным ФНС </w:t>
      </w:r>
      <w:r>
        <w:rPr>
          <w:bCs/>
          <w:sz w:val="28"/>
          <w:szCs w:val="28"/>
          <w:shd w:val="clear" w:color="auto" w:fill="ffffff"/>
        </w:rPr>
        <w:t xml:space="preserve">нет данных по среднесписочной численности работников. </w:t>
      </w:r>
      <w:r>
        <w:rPr>
          <w:sz w:val="28"/>
          <w:szCs w:val="28"/>
        </w:rPr>
        <w:t xml:space="preserve">Сведения о высвобождении не поступали. Отчет по квотированию не предоставляют.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highlight w:val="none"/>
        </w:rPr>
      </w:r>
      <w:r>
        <w:rPr>
          <w:color w:val="111111"/>
          <w:sz w:val="28"/>
          <w:szCs w:val="28"/>
          <w:highlight w:val="none"/>
        </w:rPr>
      </w:r>
    </w:p>
    <w:p>
      <w:pPr>
        <w:ind w:left="0" w:right="0" w:firstLine="568"/>
        <w:jc w:val="both"/>
        <w:tabs>
          <w:tab w:val="left" w:pos="993" w:leader="none"/>
        </w:tabs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highlight w:val="none"/>
        </w:rPr>
      </w:r>
      <w:r>
        <w:rPr>
          <w:rFonts w:eastAsia="Calibri"/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bookmarkStart w:id="0" w:name="_GoBack"/>
      <w:r/>
      <w:bookmarkEnd w:id="0"/>
      <w:r>
        <w:rPr>
          <w:b/>
          <w:bCs/>
        </w:rPr>
      </w:r>
      <w:r>
        <w:rPr>
          <w:b/>
          <w:bCs/>
        </w:rPr>
      </w:r>
    </w:p>
    <w:sectPr>
      <w:footnotePr/>
      <w:endnotePr/>
      <w:type w:val="nextPage"/>
      <w:pgSz w:w="11906" w:h="16838" w:orient="portrait"/>
      <w:pgMar w:top="1135" w:right="567" w:bottom="1134" w:left="1701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Droid Sans Devanagari">
    <w:panose1 w:val="020B0606030804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0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0" w:leader="none"/>
        </w:tabs>
      </w:pPr>
      <w:rPr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46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 w:default="1">
    <w:name w:val="Normal"/>
    <w:qFormat/>
    <w:rPr>
      <w:sz w:val="24"/>
      <w:szCs w:val="24"/>
    </w:rPr>
  </w:style>
  <w:style w:type="paragraph" w:styleId="671">
    <w:name w:val="Heading 1"/>
    <w:basedOn w:val="670"/>
    <w:next w:val="670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2">
    <w:name w:val="Heading 2"/>
    <w:basedOn w:val="670"/>
    <w:next w:val="670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3">
    <w:name w:val="Heading 3"/>
    <w:basedOn w:val="670"/>
    <w:next w:val="670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4">
    <w:name w:val="Heading 4"/>
    <w:basedOn w:val="670"/>
    <w:next w:val="670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670"/>
    <w:next w:val="670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6">
    <w:name w:val="Heading 6"/>
    <w:basedOn w:val="670"/>
    <w:next w:val="670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670"/>
    <w:next w:val="670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670"/>
    <w:next w:val="670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670"/>
    <w:next w:val="670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Heading 1 Char"/>
    <w:basedOn w:val="680"/>
    <w:uiPriority w:val="9"/>
    <w:rPr>
      <w:rFonts w:ascii="Arial" w:hAnsi="Arial" w:eastAsia="Arial" w:cs="Arial"/>
      <w:sz w:val="40"/>
      <w:szCs w:val="40"/>
    </w:rPr>
  </w:style>
  <w:style w:type="character" w:styleId="684" w:customStyle="1">
    <w:name w:val="Heading 2 Char"/>
    <w:basedOn w:val="680"/>
    <w:uiPriority w:val="9"/>
    <w:rPr>
      <w:rFonts w:ascii="Arial" w:hAnsi="Arial" w:eastAsia="Arial" w:cs="Arial"/>
      <w:sz w:val="34"/>
    </w:rPr>
  </w:style>
  <w:style w:type="character" w:styleId="685" w:customStyle="1">
    <w:name w:val="Heading 3 Char"/>
    <w:basedOn w:val="680"/>
    <w:uiPriority w:val="9"/>
    <w:rPr>
      <w:rFonts w:ascii="Arial" w:hAnsi="Arial" w:eastAsia="Arial" w:cs="Arial"/>
      <w:sz w:val="30"/>
      <w:szCs w:val="30"/>
    </w:rPr>
  </w:style>
  <w:style w:type="character" w:styleId="686" w:customStyle="1">
    <w:name w:val="Heading 4 Char"/>
    <w:basedOn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87" w:customStyle="1">
    <w:name w:val="Heading 5 Char"/>
    <w:basedOn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688" w:customStyle="1">
    <w:name w:val="Heading 6 Char"/>
    <w:basedOn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89" w:customStyle="1">
    <w:name w:val="Heading 7 Char"/>
    <w:basedOn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0" w:customStyle="1">
    <w:name w:val="Heading 8 Char"/>
    <w:basedOn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1" w:customStyle="1">
    <w:name w:val="Heading 9 Char"/>
    <w:basedOn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92" w:customStyle="1">
    <w:name w:val="Title Char"/>
    <w:basedOn w:val="680"/>
    <w:uiPriority w:val="10"/>
    <w:rPr>
      <w:sz w:val="48"/>
      <w:szCs w:val="48"/>
    </w:rPr>
  </w:style>
  <w:style w:type="character" w:styleId="693" w:customStyle="1">
    <w:name w:val="Subtitle Char"/>
    <w:basedOn w:val="680"/>
    <w:uiPriority w:val="11"/>
    <w:rPr>
      <w:sz w:val="24"/>
      <w:szCs w:val="24"/>
    </w:rPr>
  </w:style>
  <w:style w:type="character" w:styleId="694" w:customStyle="1">
    <w:name w:val="Quote Char"/>
    <w:uiPriority w:val="29"/>
    <w:rPr>
      <w:i/>
    </w:rPr>
  </w:style>
  <w:style w:type="character" w:styleId="695" w:customStyle="1">
    <w:name w:val="Intense Quote Char"/>
    <w:uiPriority w:val="30"/>
    <w:rPr>
      <w:i/>
    </w:rPr>
  </w:style>
  <w:style w:type="character" w:styleId="696" w:customStyle="1">
    <w:name w:val="Header Char"/>
    <w:basedOn w:val="680"/>
    <w:uiPriority w:val="99"/>
  </w:style>
  <w:style w:type="character" w:styleId="697" w:customStyle="1">
    <w:name w:val="Caption Char"/>
    <w:uiPriority w:val="99"/>
  </w:style>
  <w:style w:type="character" w:styleId="698" w:customStyle="1">
    <w:name w:val="Footnote Text Char"/>
    <w:uiPriority w:val="99"/>
    <w:rPr>
      <w:sz w:val="18"/>
    </w:rPr>
  </w:style>
  <w:style w:type="character" w:styleId="699" w:customStyle="1">
    <w:name w:val="Endnote Text Char"/>
    <w:uiPriority w:val="99"/>
    <w:rPr>
      <w:sz w:val="20"/>
    </w:rPr>
  </w:style>
  <w:style w:type="character" w:styleId="700" w:customStyle="1">
    <w:name w:val="Заголовок 1 Знак"/>
    <w:link w:val="671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link w:val="672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link w:val="673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link w:val="674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link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link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link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70"/>
    <w:qFormat/>
    <w:pPr>
      <w:contextualSpacing/>
      <w:ind w:left="720"/>
    </w:pPr>
  </w:style>
  <w:style w:type="paragraph" w:styleId="710">
    <w:name w:val="No Spacing"/>
    <w:qFormat/>
    <w:pPr>
      <w:ind w:firstLine="851"/>
      <w:jc w:val="both"/>
    </w:pPr>
    <w:rPr>
      <w:rFonts w:ascii="Calibri" w:hAnsi="Calibri" w:eastAsia="Calibri" w:cs="Calibri"/>
      <w:sz w:val="22"/>
      <w:szCs w:val="22"/>
    </w:rPr>
  </w:style>
  <w:style w:type="paragraph" w:styleId="711">
    <w:name w:val="Title"/>
    <w:basedOn w:val="670"/>
    <w:next w:val="670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link w:val="711"/>
    <w:uiPriority w:val="10"/>
    <w:rPr>
      <w:sz w:val="48"/>
      <w:szCs w:val="48"/>
    </w:rPr>
  </w:style>
  <w:style w:type="paragraph" w:styleId="713">
    <w:name w:val="Subtitle"/>
    <w:basedOn w:val="670"/>
    <w:next w:val="670"/>
    <w:link w:val="714"/>
    <w:uiPriority w:val="11"/>
    <w:qFormat/>
    <w:pPr>
      <w:spacing w:before="200" w:after="200"/>
    </w:pPr>
  </w:style>
  <w:style w:type="character" w:styleId="714" w:customStyle="1">
    <w:name w:val="Подзаголовок Знак"/>
    <w:link w:val="713"/>
    <w:uiPriority w:val="11"/>
    <w:rPr>
      <w:sz w:val="24"/>
      <w:szCs w:val="24"/>
    </w:rPr>
  </w:style>
  <w:style w:type="paragraph" w:styleId="715">
    <w:name w:val="Quote"/>
    <w:basedOn w:val="670"/>
    <w:next w:val="670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70"/>
    <w:next w:val="670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70"/>
    <w:link w:val="720"/>
    <w:pPr>
      <w:tabs>
        <w:tab w:val="center" w:pos="4677" w:leader="none"/>
        <w:tab w:val="right" w:pos="9355" w:leader="none"/>
      </w:tabs>
    </w:pPr>
  </w:style>
  <w:style w:type="character" w:styleId="720" w:customStyle="1">
    <w:name w:val="Верхний колонтитул Знак1"/>
    <w:link w:val="719"/>
    <w:uiPriority w:val="99"/>
  </w:style>
  <w:style w:type="paragraph" w:styleId="721">
    <w:name w:val="Footer"/>
    <w:basedOn w:val="670"/>
    <w:link w:val="724"/>
    <w:pPr>
      <w:tabs>
        <w:tab w:val="center" w:pos="4677" w:leader="none"/>
        <w:tab w:val="right" w:pos="9355" w:leader="none"/>
      </w:tabs>
    </w:pPr>
  </w:style>
  <w:style w:type="character" w:styleId="722" w:customStyle="1">
    <w:name w:val="Footer Char"/>
    <w:uiPriority w:val="99"/>
  </w:style>
  <w:style w:type="paragraph" w:styleId="723">
    <w:name w:val="Caption"/>
    <w:basedOn w:val="670"/>
    <w:qFormat/>
    <w:pPr>
      <w:spacing w:before="120" w:after="120"/>
      <w:suppressLineNumbers/>
    </w:pPr>
    <w:rPr>
      <w:rFonts w:cs="Droid Sans Devanagari"/>
      <w:i/>
      <w:iCs/>
    </w:rPr>
  </w:style>
  <w:style w:type="character" w:styleId="724" w:customStyle="1">
    <w:name w:val="Нижний колонтитул Знак1"/>
    <w:link w:val="721"/>
    <w:uiPriority w:val="99"/>
  </w:style>
  <w:style w:type="table" w:styleId="725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0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3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2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3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4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5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6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7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9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0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1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2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3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000ff" w:themeColor="hyperlink"/>
      <w:u w:val="single"/>
    </w:rPr>
  </w:style>
  <w:style w:type="paragraph" w:styleId="852">
    <w:name w:val="footnote text"/>
    <w:basedOn w:val="670"/>
    <w:link w:val="853"/>
    <w:uiPriority w:val="99"/>
    <w:semiHidden/>
    <w:unhideWhenUsed/>
    <w:pPr>
      <w:spacing w:after="40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uiPriority w:val="99"/>
    <w:unhideWhenUsed/>
    <w:rPr>
      <w:vertAlign w:val="superscript"/>
    </w:rPr>
  </w:style>
  <w:style w:type="paragraph" w:styleId="855">
    <w:name w:val="endnote text"/>
    <w:basedOn w:val="670"/>
    <w:link w:val="856"/>
    <w:uiPriority w:val="99"/>
    <w:semiHidden/>
    <w:unhideWhenUsed/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670"/>
    <w:next w:val="670"/>
    <w:uiPriority w:val="39"/>
    <w:unhideWhenUsed/>
    <w:pPr>
      <w:spacing w:after="57"/>
    </w:pPr>
  </w:style>
  <w:style w:type="paragraph" w:styleId="859">
    <w:name w:val="toc 2"/>
    <w:basedOn w:val="670"/>
    <w:next w:val="670"/>
    <w:uiPriority w:val="39"/>
    <w:unhideWhenUsed/>
    <w:pPr>
      <w:ind w:left="283"/>
      <w:spacing w:after="57"/>
    </w:pPr>
  </w:style>
  <w:style w:type="paragraph" w:styleId="860">
    <w:name w:val="toc 3"/>
    <w:basedOn w:val="670"/>
    <w:next w:val="670"/>
    <w:uiPriority w:val="39"/>
    <w:unhideWhenUsed/>
    <w:pPr>
      <w:ind w:left="567"/>
      <w:spacing w:after="57"/>
    </w:pPr>
  </w:style>
  <w:style w:type="paragraph" w:styleId="861">
    <w:name w:val="toc 4"/>
    <w:basedOn w:val="670"/>
    <w:next w:val="670"/>
    <w:uiPriority w:val="39"/>
    <w:unhideWhenUsed/>
    <w:pPr>
      <w:ind w:left="850"/>
      <w:spacing w:after="57"/>
    </w:pPr>
  </w:style>
  <w:style w:type="paragraph" w:styleId="862">
    <w:name w:val="toc 5"/>
    <w:basedOn w:val="670"/>
    <w:next w:val="670"/>
    <w:uiPriority w:val="39"/>
    <w:unhideWhenUsed/>
    <w:pPr>
      <w:ind w:left="1134"/>
      <w:spacing w:after="57"/>
    </w:pPr>
  </w:style>
  <w:style w:type="paragraph" w:styleId="863">
    <w:name w:val="toc 6"/>
    <w:basedOn w:val="670"/>
    <w:next w:val="670"/>
    <w:uiPriority w:val="39"/>
    <w:unhideWhenUsed/>
    <w:pPr>
      <w:ind w:left="1417"/>
      <w:spacing w:after="57"/>
    </w:pPr>
  </w:style>
  <w:style w:type="paragraph" w:styleId="864">
    <w:name w:val="toc 7"/>
    <w:basedOn w:val="670"/>
    <w:next w:val="670"/>
    <w:uiPriority w:val="39"/>
    <w:unhideWhenUsed/>
    <w:pPr>
      <w:ind w:left="1701"/>
      <w:spacing w:after="57"/>
    </w:pPr>
  </w:style>
  <w:style w:type="paragraph" w:styleId="865">
    <w:name w:val="toc 8"/>
    <w:basedOn w:val="670"/>
    <w:next w:val="670"/>
    <w:uiPriority w:val="39"/>
    <w:unhideWhenUsed/>
    <w:pPr>
      <w:ind w:left="1984"/>
      <w:spacing w:after="57"/>
    </w:pPr>
  </w:style>
  <w:style w:type="paragraph" w:styleId="866">
    <w:name w:val="toc 9"/>
    <w:basedOn w:val="670"/>
    <w:next w:val="670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70"/>
    <w:next w:val="670"/>
    <w:uiPriority w:val="99"/>
    <w:unhideWhenUsed/>
  </w:style>
  <w:style w:type="character" w:styleId="869" w:customStyle="1">
    <w:name w:val="WW8Num2z0"/>
    <w:rPr>
      <w:b w:val="0"/>
    </w:rPr>
  </w:style>
  <w:style w:type="character" w:styleId="870" w:customStyle="1">
    <w:name w:val="WW8Num1z0"/>
  </w:style>
  <w:style w:type="character" w:styleId="871" w:customStyle="1">
    <w:name w:val="WW8Num4z0"/>
  </w:style>
  <w:style w:type="character" w:styleId="872" w:customStyle="1">
    <w:name w:val="WW8Num5z0"/>
  </w:style>
  <w:style w:type="character" w:styleId="873" w:customStyle="1">
    <w:name w:val="WW8Num7z0"/>
  </w:style>
  <w:style w:type="character" w:styleId="874" w:customStyle="1">
    <w:name w:val="WW8Num8z0"/>
  </w:style>
  <w:style w:type="character" w:styleId="875" w:customStyle="1">
    <w:name w:val="WW8Num9z0"/>
  </w:style>
  <w:style w:type="character" w:styleId="876" w:customStyle="1">
    <w:name w:val="WW8Num10z0"/>
    <w:rPr>
      <w:rFonts w:ascii="Calibri" w:hAnsi="Calibri" w:cs="Calibri"/>
      <w:sz w:val="22"/>
    </w:rPr>
  </w:style>
  <w:style w:type="character" w:styleId="877" w:customStyle="1">
    <w:name w:val="WW8Num11z0"/>
    <w:rPr>
      <w:b w:val="0"/>
    </w:rPr>
  </w:style>
  <w:style w:type="character" w:styleId="878" w:customStyle="1">
    <w:name w:val="WW8Num12z0"/>
    <w:rPr>
      <w:rFonts w:ascii="Times New Roman" w:hAnsi="Times New Roman" w:eastAsia="Times New Roman" w:cs="Times New Roman"/>
    </w:rPr>
  </w:style>
  <w:style w:type="character" w:styleId="879" w:customStyle="1">
    <w:name w:val="WW8Num13z0"/>
  </w:style>
  <w:style w:type="character" w:styleId="880" w:customStyle="1">
    <w:name w:val="WW8Num14z0"/>
  </w:style>
  <w:style w:type="character" w:styleId="881" w:customStyle="1">
    <w:name w:val="WW8Num15z0"/>
  </w:style>
  <w:style w:type="character" w:styleId="882" w:customStyle="1">
    <w:name w:val="WW8Num16z0"/>
  </w:style>
  <w:style w:type="character" w:styleId="883" w:customStyle="1">
    <w:name w:val="WW8Num17z0"/>
  </w:style>
  <w:style w:type="character" w:styleId="884" w:customStyle="1">
    <w:name w:val="WW8Num18z0"/>
  </w:style>
  <w:style w:type="character" w:styleId="885" w:customStyle="1">
    <w:name w:val="WW8Num20z0"/>
  </w:style>
  <w:style w:type="character" w:styleId="886" w:customStyle="1">
    <w:name w:val="WW8Num22z0"/>
  </w:style>
  <w:style w:type="character" w:styleId="887" w:customStyle="1">
    <w:name w:val="WW8Num23z0"/>
    <w:rPr>
      <w:b w:val="0"/>
    </w:rPr>
  </w:style>
  <w:style w:type="character" w:styleId="888" w:customStyle="1">
    <w:name w:val="Основной шрифт абзаца1"/>
  </w:style>
  <w:style w:type="character" w:styleId="889" w:customStyle="1">
    <w:name w:val="Основной текст Знак"/>
    <w:rPr>
      <w:sz w:val="24"/>
      <w:szCs w:val="24"/>
    </w:rPr>
  </w:style>
  <w:style w:type="character" w:styleId="890" w:customStyle="1">
    <w:name w:val="Верхний колонтитул Знак"/>
    <w:rPr>
      <w:sz w:val="24"/>
      <w:szCs w:val="24"/>
    </w:rPr>
  </w:style>
  <w:style w:type="character" w:styleId="891" w:customStyle="1">
    <w:name w:val="Нижний колонтитул Знак"/>
    <w:rPr>
      <w:sz w:val="24"/>
      <w:szCs w:val="24"/>
    </w:rPr>
  </w:style>
  <w:style w:type="character" w:styleId="892" w:customStyle="1">
    <w:name w:val="Основной текст с отступом Знак"/>
    <w:rPr>
      <w:sz w:val="28"/>
      <w:szCs w:val="24"/>
    </w:rPr>
  </w:style>
  <w:style w:type="paragraph" w:styleId="893" w:customStyle="1">
    <w:name w:val="Заголовок1"/>
    <w:basedOn w:val="670"/>
    <w:next w:val="894"/>
    <w:pPr>
      <w:ind w:left="9000"/>
      <w:jc w:val="center"/>
    </w:pPr>
    <w:rPr>
      <w:sz w:val="28"/>
    </w:rPr>
  </w:style>
  <w:style w:type="paragraph" w:styleId="894">
    <w:name w:val="Body Text"/>
    <w:basedOn w:val="670"/>
    <w:pPr>
      <w:spacing w:after="120"/>
    </w:pPr>
  </w:style>
  <w:style w:type="paragraph" w:styleId="895">
    <w:name w:val="List"/>
    <w:basedOn w:val="894"/>
    <w:rPr>
      <w:rFonts w:cs="Droid Sans Devanagari"/>
    </w:rPr>
  </w:style>
  <w:style w:type="paragraph" w:styleId="896" w:customStyle="1">
    <w:name w:val="Указатель1"/>
    <w:basedOn w:val="670"/>
    <w:pPr>
      <w:suppressLineNumbers/>
    </w:pPr>
    <w:rPr>
      <w:rFonts w:cs="Droid Sans Devanagari"/>
    </w:rPr>
  </w:style>
  <w:style w:type="paragraph" w:styleId="897" w:customStyle="1">
    <w:name w:val="Caption1"/>
    <w:basedOn w:val="670"/>
    <w:pPr>
      <w:spacing w:before="120" w:after="120"/>
      <w:suppressLineNumbers/>
    </w:pPr>
    <w:rPr>
      <w:rFonts w:cs="Droid Sans Devanagari"/>
      <w:i/>
      <w:iCs/>
    </w:rPr>
  </w:style>
  <w:style w:type="paragraph" w:styleId="898">
    <w:name w:val="Body Text Indent"/>
    <w:basedOn w:val="670"/>
    <w:pPr>
      <w:ind w:left="3960"/>
      <w:jc w:val="both"/>
    </w:pPr>
    <w:rPr>
      <w:sz w:val="28"/>
    </w:rPr>
  </w:style>
  <w:style w:type="paragraph" w:styleId="899" w:customStyle="1">
    <w:name w:val="Char Знак Знак Char Знак Знак Знак Знак Знак Знак Знак Знак Знак Знак Знак Знак Знак Знак Знак Знак"/>
    <w:basedOn w:val="670"/>
    <w:rPr>
      <w:rFonts w:ascii="Verdana" w:hAnsi="Verdana" w:cs="Verdana"/>
      <w:sz w:val="20"/>
      <w:szCs w:val="20"/>
      <w:lang w:val="en-US"/>
    </w:rPr>
  </w:style>
  <w:style w:type="paragraph" w:styleId="900">
    <w:name w:val="Balloon Text"/>
    <w:basedOn w:val="670"/>
    <w:rPr>
      <w:rFonts w:ascii="Tahoma" w:hAnsi="Tahoma" w:cs="Tahoma"/>
      <w:sz w:val="16"/>
      <w:szCs w:val="16"/>
    </w:rPr>
  </w:style>
  <w:style w:type="paragraph" w:styleId="901" w:customStyle="1">
    <w:name w:val="Знак1"/>
    <w:basedOn w:val="670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902" w:customStyle="1">
    <w:name w:val="Колонтитул"/>
    <w:basedOn w:val="670"/>
    <w:pPr>
      <w:tabs>
        <w:tab w:val="center" w:pos="4819" w:leader="none"/>
        <w:tab w:val="right" w:pos="9638" w:leader="none"/>
      </w:tabs>
      <w:suppressLineNumbers/>
    </w:pPr>
  </w:style>
  <w:style w:type="paragraph" w:styleId="903" w:customStyle="1">
    <w:name w:val="Содержимое таблицы"/>
    <w:basedOn w:val="670"/>
    <w:pPr>
      <w:widowControl w:val="off"/>
      <w:suppressLineNumbers/>
    </w:pPr>
  </w:style>
  <w:style w:type="paragraph" w:styleId="904" w:customStyle="1">
    <w:name w:val="Заголовок таблицы"/>
    <w:basedOn w:val="903"/>
    <w:pPr>
      <w:jc w:val="center"/>
    </w:pPr>
    <w:rPr>
      <w:b/>
      <w:bCs/>
    </w:rPr>
  </w:style>
  <w:style w:type="paragraph" w:styleId="905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javascript:;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revision>15</cp:revision>
  <dcterms:created xsi:type="dcterms:W3CDTF">2026-04-16T04:10:00Z</dcterms:created>
  <dcterms:modified xsi:type="dcterms:W3CDTF">2026-06-30T06:28:26Z</dcterms:modified>
  <cp:version>1048576</cp:version>
</cp:coreProperties>
</file>